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62C5" w:rsidRDefault="00446E2A">
      <w:pPr>
        <w:shd w:val="clear" w:color="auto" w:fill="FFFFFF"/>
        <w:spacing w:after="60" w:line="240" w:lineRule="auto"/>
        <w:jc w:val="both"/>
        <w:rPr>
          <w:b/>
        </w:rPr>
      </w:pPr>
      <w:r>
        <w:t xml:space="preserve">Asignatura: Teoría Sociológica. Área de Investigación: </w:t>
      </w:r>
      <w:r>
        <w:rPr>
          <w:b/>
        </w:rPr>
        <w:t>Aporte de la Teoría del Género al Análisis de lo Social.</w:t>
      </w:r>
    </w:p>
    <w:p w:rsidR="006E62C5" w:rsidRDefault="006E62C5">
      <w:pPr>
        <w:shd w:val="clear" w:color="auto" w:fill="FFFFFF"/>
        <w:spacing w:after="120" w:line="240" w:lineRule="auto"/>
        <w:jc w:val="both"/>
        <w:rPr>
          <w:color w:val="500050"/>
        </w:rPr>
      </w:pPr>
    </w:p>
    <w:p w:rsidR="006E62C5" w:rsidRDefault="00446E2A">
      <w:pPr>
        <w:shd w:val="clear" w:color="auto" w:fill="FFFFFF"/>
        <w:spacing w:after="240" w:line="240" w:lineRule="auto"/>
        <w:jc w:val="both"/>
      </w:pPr>
      <w:r>
        <w:t>6.1.      Carrera y número de resolución del plan de estudios correspondiente. (Se completa desde la Carrera)</w:t>
      </w:r>
    </w:p>
    <w:p w:rsidR="006E62C5" w:rsidRDefault="006E62C5">
      <w:pPr>
        <w:shd w:val="clear" w:color="auto" w:fill="FFFFFF"/>
        <w:spacing w:after="240" w:line="240" w:lineRule="auto"/>
        <w:jc w:val="both"/>
      </w:pPr>
    </w:p>
    <w:p w:rsidR="006E62C5" w:rsidRDefault="00446E2A">
      <w:pPr>
        <w:shd w:val="clear" w:color="auto" w:fill="FFFFFF"/>
        <w:spacing w:after="120" w:line="240" w:lineRule="auto"/>
        <w:jc w:val="both"/>
      </w:pPr>
      <w:r>
        <w:t>6.2.      Fundamentos y objetivos.</w:t>
      </w:r>
    </w:p>
    <w:p w:rsidR="006E62C5" w:rsidRDefault="00446E2A">
      <w:pPr>
        <w:shd w:val="clear" w:color="auto" w:fill="FFFFFF"/>
        <w:spacing w:after="60" w:line="240" w:lineRule="auto"/>
        <w:jc w:val="both"/>
      </w:pPr>
      <w:r>
        <w:t xml:space="preserve">Las teorías del género han aportado al análisis de lo social al conceptualizar una serie de desigualdades naturalizadas e invisibilizadas. Desde la segunda mitad del siglo XX, con </w:t>
      </w:r>
      <w:r>
        <w:rPr>
          <w:i/>
        </w:rPr>
        <w:t>El Segundo Sexo</w:t>
      </w:r>
      <w:r>
        <w:t xml:space="preserve"> (de Simone de Beauvoir) y el feminismo de la Segunda Ola, estas teorías han rastreado y explicado las razones y los mecanismos por los cuales las mujeres ocupan lugares desventajosos en relación a los varones en la estructura social, en instancias políticas y en dinámicas culturales. El abordaje de estas desigualdades fue crecientemente complejizado mediante su análisis en articulación con las dimensiones de clase y raza/etnia (desde el feminismo negro hasta los más recientes enfoques interseccionales). Lejos de ser </w:t>
      </w:r>
      <w:r>
        <w:rPr>
          <w:i/>
        </w:rPr>
        <w:t>la</w:t>
      </w:r>
      <w:r>
        <w:t xml:space="preserve"> mujer (en singular y aislada) el sujeto/objeto de estudio, las teorías de género pluralizaron sus sujetos y sofisticaron sus propuestas para captar las múltiples desigualdades y dinámicas que atravesaban los fenómenos sociales, políticos y culturales que pretendían abordar. Así, </w:t>
      </w:r>
      <w:r>
        <w:rPr>
          <w:i/>
        </w:rPr>
        <w:t>las</w:t>
      </w:r>
      <w:r>
        <w:t xml:space="preserve"> mujeres pasaron a ser muchas y diversas: urbanas y campesinas, blancas, mestizas y negras, católicas, evangélicas, judías, musulmanas y ateas, trans o cisexuales, entre muchos ejes de diferenciación y desigualdad considerados.</w:t>
      </w:r>
    </w:p>
    <w:p w:rsidR="006E62C5" w:rsidRDefault="00446E2A">
      <w:pPr>
        <w:shd w:val="clear" w:color="auto" w:fill="FFFFFF"/>
        <w:spacing w:after="60" w:line="240" w:lineRule="auto"/>
        <w:jc w:val="both"/>
      </w:pPr>
      <w:r>
        <w:t xml:space="preserve">Entre las tres últimas décadas del siglo XX y principios del XXI, las teorías de género ampliaron aún más su campo de reflexión. Por un lado, rompieron con la asociación “género=mujeres”, al dar cuenta del carácter relacional del género y comenzar a explorar a los varones, dando origen al campo de estudios sobre masculinidades. Por otro lado, pusieron creciente interés en sujetos que transgrediesen la heteronormatividad, por su orientación sexual y/o su identidad o expresión de género, consolidando un campo de investigación sociológica y reflexión teórica sobre la diversidad sexual.    </w:t>
      </w:r>
    </w:p>
    <w:p w:rsidR="006E62C5" w:rsidRDefault="00446E2A">
      <w:pPr>
        <w:shd w:val="clear" w:color="auto" w:fill="FFFFFF"/>
        <w:spacing w:after="60" w:line="240" w:lineRule="auto"/>
        <w:jc w:val="both"/>
      </w:pPr>
      <w:r>
        <w:t xml:space="preserve">Muchas de las teorías que se enseñan en la formación de grado en sociología no han tematizado las desigualdades entre varones y mujeres, ni han otorgado un lugar preminente a la dimensión de género en sus conceptualizaciones. En este sentido, esta asignatura presenta un recorrido teórico y de investigaciones dentro de los estudios de género, mediante la combinación de trabajos clásicos con otros más recientes e innovadores. </w:t>
      </w:r>
    </w:p>
    <w:p w:rsidR="006E62C5" w:rsidRDefault="00446E2A">
      <w:pPr>
        <w:shd w:val="clear" w:color="auto" w:fill="FFFFFF"/>
        <w:spacing w:after="60" w:line="240" w:lineRule="auto"/>
        <w:jc w:val="both"/>
      </w:pPr>
      <w:r>
        <w:t xml:space="preserve">El objetivo es ofrecer a las y los estudiantes una introducción y un panorama actualizado de la temática, con el fin de que puedan adquirir herramientas analíticas y una perspectiva teórica de género, como constitutivas de su formación intelectual y profesional. Parte de esta propuesta consiste en explorar la potencial complementariedad de una perspectiva de género con otros enfoques más extendidos en la teoría sociológica para evitar que sea evaluado como un juego de suma cero en el que si optan por un enfoque, todo lo que “ganan” analíticamente con él lo “pierden” del que dejan de lado. </w:t>
      </w:r>
    </w:p>
    <w:p w:rsidR="006E62C5" w:rsidRDefault="00446E2A">
      <w:pPr>
        <w:shd w:val="clear" w:color="auto" w:fill="FFFFFF"/>
        <w:spacing w:after="240" w:line="240" w:lineRule="auto"/>
        <w:jc w:val="both"/>
      </w:pPr>
      <w:r>
        <w:t>En síntesis, actualmente un/a graduado/a en sociología, decida o no trabajar desde una perspectiva de género, no puede desconocerla, por lo que el curso servirá al menos como una introducción que lo/a prevenga de análisis e intervenciones sesgadas por un androcentrismo no vigilado epistemológicamente.</w:t>
      </w:r>
    </w:p>
    <w:p w:rsidR="006E62C5" w:rsidRDefault="00446E2A">
      <w:pPr>
        <w:shd w:val="clear" w:color="auto" w:fill="FFFFFF"/>
        <w:spacing w:after="120" w:line="240" w:lineRule="auto"/>
        <w:jc w:val="both"/>
      </w:pPr>
      <w:r>
        <w:t>6.3.      Puntos de articulación con respecto al plan de la carrera correspondiente.</w:t>
      </w:r>
    </w:p>
    <w:p w:rsidR="006E62C5" w:rsidRDefault="00446E2A">
      <w:pPr>
        <w:shd w:val="clear" w:color="auto" w:fill="FFFFFF"/>
        <w:spacing w:after="60" w:line="240" w:lineRule="auto"/>
        <w:jc w:val="both"/>
      </w:pPr>
      <w:r>
        <w:t xml:space="preserve">En cuanto a la ubicación de esta materia en el plan de Sociología, para cursarla hay que tener aprobadas </w:t>
      </w:r>
      <w:r>
        <w:lastRenderedPageBreak/>
        <w:t xml:space="preserve">Sociología sistemática y Metodología I, por lo que pueden asistir estudiantes de diferentes niveles e instancias de formación, y de distintas orientaciones (estén o no formalizadas como alternativas en el plan de estudios). Esto supone que su importancia relativa es variable. </w:t>
      </w:r>
    </w:p>
    <w:p w:rsidR="006E62C5" w:rsidRDefault="00446E2A">
      <w:pPr>
        <w:shd w:val="clear" w:color="auto" w:fill="FFFFFF"/>
        <w:spacing w:after="60" w:line="240" w:lineRule="auto"/>
        <w:jc w:val="both"/>
      </w:pPr>
      <w:r>
        <w:t xml:space="preserve">Si se trata de alguien que comienza la carrera, le brindará una clave de lectura novedosa para muchos fenómenos y enfoques explorados en las asignaturas obligatorias, sobre las cuales la perspectiva de género ha hecho aportes relevantes (Historia, Economía, Filosofía, Metodología). </w:t>
      </w:r>
    </w:p>
    <w:p w:rsidR="006E62C5" w:rsidRDefault="00446E2A">
      <w:pPr>
        <w:shd w:val="clear" w:color="auto" w:fill="FFFFFF"/>
        <w:spacing w:after="60" w:line="240" w:lineRule="auto"/>
        <w:jc w:val="both"/>
      </w:pPr>
      <w:r>
        <w:t>Si es un/a estudiante avanzado/a, le permitirá reflexionar sobre su formación hasta el momento y, a su vez, puede incluir la asignatura como parte de las orientaciones en Teorías Sociológicas o en Estudios de Género y Derechos Humanos, vinculándola con otras optativas, por sus abordajes o temáticas (Identidades, discursos sociales y tecnologías de género; Género, derechos humanos y equidad; Violencia, sexismo y derechos humanos; La sociología y los estudios poscoloniales. Género, etnia y sujetos subalternos; Género y derechos: un territorio en disputa por las denominaciones de una articulación social en ciernes, entre otras).</w:t>
      </w:r>
    </w:p>
    <w:p w:rsidR="006E62C5" w:rsidRDefault="00446E2A">
      <w:pPr>
        <w:shd w:val="clear" w:color="auto" w:fill="FFFFFF"/>
        <w:spacing w:after="240" w:line="240" w:lineRule="auto"/>
        <w:jc w:val="both"/>
      </w:pPr>
      <w:r>
        <w:t xml:space="preserve">Cualquiera sea la instancia de formación en que se encuentre el/la estudiante, esta asignatura se propone retomar debates centrales de la agenda sociológica (por ejemplo, agencia/estructura, naturaleza/cultura), ver cómo se dan en el campo de estudios de género y qué aportes puede realizar dicha perspectiva.    </w:t>
      </w:r>
    </w:p>
    <w:p w:rsidR="006E62C5" w:rsidRDefault="00446E2A">
      <w:pPr>
        <w:shd w:val="clear" w:color="auto" w:fill="FFFFFF"/>
        <w:spacing w:after="120" w:line="240" w:lineRule="auto"/>
        <w:jc w:val="both"/>
      </w:pPr>
      <w:r>
        <w:t>6.4.      Carga horaria y/o créditos asignados. </w:t>
      </w:r>
    </w:p>
    <w:p w:rsidR="006E62C5" w:rsidRDefault="00446E2A">
      <w:pPr>
        <w:shd w:val="clear" w:color="auto" w:fill="FFFFFF"/>
        <w:spacing w:after="240" w:line="240" w:lineRule="auto"/>
        <w:jc w:val="both"/>
      </w:pPr>
      <w:r>
        <w:t>56 horas cuatrimestrales (4 horas semanales).</w:t>
      </w:r>
    </w:p>
    <w:p w:rsidR="006E62C5" w:rsidRDefault="00446E2A">
      <w:pPr>
        <w:shd w:val="clear" w:color="auto" w:fill="FFFFFF"/>
        <w:spacing w:after="120" w:line="240" w:lineRule="auto"/>
        <w:jc w:val="both"/>
      </w:pPr>
      <w:r>
        <w:t>6.5.      Cantidad de ciclos de dictado anuales.</w:t>
      </w:r>
    </w:p>
    <w:p w:rsidR="006E62C5" w:rsidRDefault="00446E2A">
      <w:pPr>
        <w:shd w:val="clear" w:color="auto" w:fill="FFFFFF"/>
        <w:spacing w:after="240" w:line="240" w:lineRule="auto"/>
        <w:jc w:val="both"/>
      </w:pPr>
      <w:r>
        <w:t>Uno (</w:t>
      </w:r>
      <w:r w:rsidR="008760EE">
        <w:t xml:space="preserve">segundo </w:t>
      </w:r>
      <w:r>
        <w:t>cuatrimestre).</w:t>
      </w:r>
    </w:p>
    <w:p w:rsidR="006E62C5" w:rsidRDefault="00446E2A">
      <w:pPr>
        <w:shd w:val="clear" w:color="auto" w:fill="FFFFFF"/>
        <w:spacing w:after="120" w:line="240" w:lineRule="auto"/>
        <w:jc w:val="both"/>
      </w:pPr>
      <w:r>
        <w:t>6.6.      Cantidad de cátedras que la ofrecen simultáneamente.</w:t>
      </w:r>
    </w:p>
    <w:p w:rsidR="006E62C5" w:rsidRDefault="00446E2A">
      <w:pPr>
        <w:shd w:val="clear" w:color="auto" w:fill="FFFFFF"/>
        <w:spacing w:after="240" w:line="240" w:lineRule="auto"/>
        <w:jc w:val="both"/>
      </w:pPr>
      <w:r>
        <w:t xml:space="preserve">Una. </w:t>
      </w:r>
    </w:p>
    <w:p w:rsidR="006E62C5" w:rsidRDefault="00446E2A">
      <w:pPr>
        <w:shd w:val="clear" w:color="auto" w:fill="FFFFFF"/>
        <w:spacing w:after="120" w:line="240" w:lineRule="auto"/>
        <w:jc w:val="both"/>
      </w:pPr>
      <w:r>
        <w:t>6.7.      Sistema tutorial (si correspondiere).</w:t>
      </w:r>
    </w:p>
    <w:p w:rsidR="006E62C5" w:rsidRDefault="00446E2A">
      <w:pPr>
        <w:shd w:val="clear" w:color="auto" w:fill="FFFFFF"/>
        <w:spacing w:after="240" w:line="240" w:lineRule="auto"/>
        <w:jc w:val="both"/>
      </w:pPr>
      <w:r>
        <w:t xml:space="preserve">No corresponde. </w:t>
      </w:r>
    </w:p>
    <w:p w:rsidR="006E62C5" w:rsidRDefault="00446E2A">
      <w:pPr>
        <w:shd w:val="clear" w:color="auto" w:fill="FFFFFF"/>
        <w:spacing w:after="120" w:line="240" w:lineRule="auto"/>
        <w:jc w:val="both"/>
      </w:pPr>
      <w:r>
        <w:t>6.8.      Modalidad de enseñanza.</w:t>
      </w:r>
    </w:p>
    <w:p w:rsidR="006E62C5" w:rsidRDefault="00446E2A">
      <w:pPr>
        <w:shd w:val="clear" w:color="auto" w:fill="FFFFFF"/>
        <w:spacing w:after="240" w:line="240" w:lineRule="auto"/>
        <w:jc w:val="both"/>
      </w:pPr>
      <w:r>
        <w:t xml:space="preserve">Presencial. </w:t>
      </w:r>
    </w:p>
    <w:p w:rsidR="006E62C5" w:rsidRDefault="00446E2A">
      <w:pPr>
        <w:shd w:val="clear" w:color="auto" w:fill="FFFFFF"/>
        <w:spacing w:after="120" w:line="240" w:lineRule="auto"/>
        <w:jc w:val="both"/>
      </w:pPr>
      <w:r>
        <w:t xml:space="preserve">6.9.      Contenidos mínimos o programa. </w:t>
      </w:r>
    </w:p>
    <w:p w:rsidR="006E62C5" w:rsidRDefault="00446E2A">
      <w:pPr>
        <w:shd w:val="clear" w:color="auto" w:fill="FFFFFF"/>
        <w:spacing w:after="120" w:line="240" w:lineRule="auto"/>
        <w:jc w:val="both"/>
      </w:pPr>
      <w:r>
        <w:rPr>
          <w:u w:val="single"/>
        </w:rPr>
        <w:t>Introducción</w:t>
      </w:r>
    </w:p>
    <w:p w:rsidR="006E62C5" w:rsidRDefault="00446E2A">
      <w:pPr>
        <w:shd w:val="clear" w:color="auto" w:fill="FFFFFF"/>
        <w:spacing w:after="120" w:line="240" w:lineRule="auto"/>
        <w:jc w:val="both"/>
      </w:pPr>
      <w:r>
        <w:t>El propósito de la asignatura es presentar y discutir los aportes de las teorías del género al análisis de lo social, de una forma teóricamente pluralista y analíticamente rigurosa, fomentando el intercambio intelectual crítico con las y los estudiantes.</w:t>
      </w:r>
    </w:p>
    <w:p w:rsidR="006E62C5" w:rsidRDefault="00446E2A">
      <w:pPr>
        <w:shd w:val="clear" w:color="auto" w:fill="FFFFFF"/>
        <w:spacing w:after="120" w:line="240" w:lineRule="auto"/>
        <w:jc w:val="both"/>
      </w:pPr>
      <w:r>
        <w:t xml:space="preserve">Para la elaboración de esta propuesta hemos considerado los enfoques, temáticas y textos de las restantes materias que abordan cuestiones de género o afines en la carrera, a fin de evitar una duplicación para quienes las cursen y, más importante aún, explorar áreas de vacancia en la formación de grado en sociología. </w:t>
      </w:r>
    </w:p>
    <w:p w:rsidR="006E62C5" w:rsidRDefault="00446E2A">
      <w:pPr>
        <w:shd w:val="clear" w:color="auto" w:fill="FFFFFF"/>
        <w:spacing w:after="240" w:line="240" w:lineRule="auto"/>
        <w:jc w:val="both"/>
      </w:pPr>
      <w:r>
        <w:lastRenderedPageBreak/>
        <w:t>Hemos priorizado textos recientes e innovadores de y/o sobre Latinoamérica como bibliografía obligatoria (en menor medida, también de y sobre África), para su discusión en clase. Los trabajos clásicos y/o de procedencia anglosajona o francesa los hemos incluido mayoritariamente como bibliografía de referencia.</w:t>
      </w:r>
    </w:p>
    <w:p w:rsidR="006E62C5" w:rsidRDefault="00446E2A">
      <w:pPr>
        <w:shd w:val="clear" w:color="auto" w:fill="FFFFFF"/>
        <w:spacing w:after="120" w:line="240" w:lineRule="auto"/>
        <w:jc w:val="both"/>
        <w:rPr>
          <w:u w:val="single"/>
        </w:rPr>
      </w:pPr>
      <w:r>
        <w:rPr>
          <w:u w:val="single"/>
        </w:rPr>
        <w:t xml:space="preserve">Modalidad de trabajo  </w:t>
      </w:r>
    </w:p>
    <w:p w:rsidR="006E62C5" w:rsidRDefault="00446E2A">
      <w:pPr>
        <w:shd w:val="clear" w:color="auto" w:fill="FFFFFF"/>
        <w:spacing w:after="120" w:line="240" w:lineRule="auto"/>
        <w:jc w:val="both"/>
      </w:pPr>
      <w:r>
        <w:t>Un encuentro semanal de 4 horas, divido en una clase teórica de exposición dialogada y una clase práctica de discusión a partir de diferentes recursos didácticos.</w:t>
      </w:r>
    </w:p>
    <w:p w:rsidR="006E62C5" w:rsidRDefault="00446E2A">
      <w:pPr>
        <w:shd w:val="clear" w:color="auto" w:fill="FFFFFF"/>
        <w:spacing w:after="120" w:line="240" w:lineRule="auto"/>
        <w:jc w:val="both"/>
      </w:pPr>
      <w:r>
        <w:t xml:space="preserve">En las clases teóricas se realizarán exposiciones orales a cargo del docente, en base a la bibliografía de referencia y otros textos. Se integrarán tecnologías audiovisuales y digitales a la enseñanza. La dinámica de clase incluirá presentaciones de publicaciones no académicas y videos que actúen como disparadores para la discusión de ciertas problemáticas (fragmentos documentales y periodísticos sobre los fenómenos abordados, piezas publicitarias, videos musicales, comics y fanzines </w:t>
      </w:r>
      <w:r>
        <w:rPr>
          <w:i/>
        </w:rPr>
        <w:t>under</w:t>
      </w:r>
      <w:r>
        <w:t xml:space="preserve">latinoamericanos, entrevistas a autoras incluidas en la bibliografía, entre otras). </w:t>
      </w:r>
    </w:p>
    <w:p w:rsidR="006E62C5" w:rsidRDefault="00446E2A">
      <w:pPr>
        <w:shd w:val="clear" w:color="auto" w:fill="FFFFFF"/>
        <w:spacing w:after="120" w:line="240" w:lineRule="auto"/>
        <w:jc w:val="both"/>
      </w:pPr>
      <w:r>
        <w:t xml:space="preserve">En las clases prácticas se fomentará el trabajo directo sobre la bibliografía obligatoria, partiendo de las exposiciones de las y los estudiantes (en base a guías de preguntas elaboradas por el docente) y luego dinamizando la discusión colectiva a partir de las interpretaciones divergentes. </w:t>
      </w:r>
    </w:p>
    <w:p w:rsidR="006E62C5" w:rsidRDefault="00446E2A">
      <w:pPr>
        <w:shd w:val="clear" w:color="auto" w:fill="FFFFFF"/>
        <w:spacing w:after="120" w:line="240" w:lineRule="auto"/>
        <w:jc w:val="both"/>
      </w:pPr>
      <w:r>
        <w:t>Se promoverá la lectura crítica de los textos, se ofrecerán elementos para comprender situadamente sus planteos y se estimulará un diálogo respetuoso y constructivo en la clase.</w:t>
      </w:r>
    </w:p>
    <w:p w:rsidR="006E62C5" w:rsidRDefault="00446E2A">
      <w:pPr>
        <w:shd w:val="clear" w:color="auto" w:fill="FFFFFF"/>
        <w:spacing w:after="240" w:line="240" w:lineRule="auto"/>
        <w:jc w:val="both"/>
      </w:pPr>
      <w:r>
        <w:t>Para la interacción no presencial con las y los estudiantes se habilitará un blog y una página en redes sociales donde se debata sobre textos breves acerca de los/as autores/as o temas a abordar en la asignatura. Esta tecnología colaborará a mantenerse permeable a los intereses e inquietudes del alumnado, al ampliar los canales de comunicación entre el mismo y el docente.</w:t>
      </w:r>
    </w:p>
    <w:p w:rsidR="006E62C5" w:rsidRDefault="00446E2A">
      <w:pPr>
        <w:shd w:val="clear" w:color="auto" w:fill="FFFFFF"/>
        <w:spacing w:after="120" w:line="240" w:lineRule="auto"/>
        <w:jc w:val="both"/>
      </w:pPr>
      <w:r>
        <w:rPr>
          <w:u w:val="single"/>
        </w:rPr>
        <w:t>Bibliografía</w:t>
      </w:r>
    </w:p>
    <w:p w:rsidR="006E62C5" w:rsidRDefault="00446E2A">
      <w:pPr>
        <w:shd w:val="clear" w:color="auto" w:fill="FFFFFF"/>
        <w:spacing w:after="240" w:line="240" w:lineRule="auto"/>
        <w:jc w:val="both"/>
      </w:pPr>
      <w:r>
        <w:t xml:space="preserve">Se divide en obligatoria y de referencia. La primera es aquella cuya lectura se pedirá a las y los estudiantes para la realización de los trabajos y la discusión en la clase práctica. La bibliografía de referencia contiene una serie de textos fundamentales para enmarcar las temáticas y debates abordados que sustentarán los momentos expositivos de la clase. Se recomendará su lectura, pero no resulta imprescindible para la participación en clase. </w:t>
      </w:r>
    </w:p>
    <w:p w:rsidR="006E62C5" w:rsidRDefault="00446E2A">
      <w:pPr>
        <w:shd w:val="clear" w:color="auto" w:fill="FFFFFF"/>
        <w:spacing w:after="120" w:line="240" w:lineRule="auto"/>
        <w:jc w:val="both"/>
        <w:rPr>
          <w:color w:val="FF0000"/>
        </w:rPr>
      </w:pPr>
      <w:r>
        <w:rPr>
          <w:u w:val="single"/>
        </w:rPr>
        <w:t>Unidades</w:t>
      </w:r>
    </w:p>
    <w:p w:rsidR="006E62C5" w:rsidRDefault="00446E2A">
      <w:pPr>
        <w:spacing w:after="120" w:line="240" w:lineRule="auto"/>
        <w:jc w:val="both"/>
        <w:rPr>
          <w:b/>
        </w:rPr>
      </w:pPr>
      <w:r>
        <w:rPr>
          <w:b/>
        </w:rPr>
        <w:t>UNIDAD 1. Introducción a la perspectiva de género (y su relación con el sexo)</w:t>
      </w:r>
    </w:p>
    <w:p w:rsidR="006E62C5" w:rsidRDefault="00446E2A">
      <w:pPr>
        <w:spacing w:after="180" w:line="240" w:lineRule="auto"/>
        <w:jc w:val="both"/>
      </w:pPr>
      <w:r>
        <w:t xml:space="preserve">Sexo, diferencia sexual, mujer, mujeres: antecedentes y formulaciones alternativas al género. El contexto teórico y político del surgimiento de la categoría de género (movimientos sociales, escenarios intelectuales, entramados institucionales). El género en la medicina y la psiquiatría. Un recorrido por sus formulaciones más relevantes. Su utilidad para las ciencias sociales en general y para la sociología en particular. Las relaciones entre sexo y género. Cisexismo. Los varones como sujetos genéricos y los estudios de masculinidad. </w:t>
      </w:r>
    </w:p>
    <w:p w:rsidR="006E62C5" w:rsidRDefault="00446E2A">
      <w:pPr>
        <w:spacing w:after="120" w:line="240" w:lineRule="auto"/>
        <w:rPr>
          <w:u w:val="single"/>
        </w:rPr>
      </w:pPr>
      <w:r>
        <w:rPr>
          <w:u w:val="single"/>
        </w:rPr>
        <w:t>Bibliografía obligatoria</w:t>
      </w:r>
    </w:p>
    <w:p w:rsidR="006E62C5" w:rsidRDefault="00446E2A">
      <w:pPr>
        <w:spacing w:after="120" w:line="240" w:lineRule="auto"/>
        <w:jc w:val="both"/>
      </w:pPr>
      <w:r>
        <w:t xml:space="preserve">Lamas, Marta [1986] (1996). “La antropología feminista y la categoría ‘género’”. En Lamas, Marta (comp.), </w:t>
      </w:r>
      <w:r>
        <w:rPr>
          <w:i/>
        </w:rPr>
        <w:t>El género. La construcción cultural de la diferencia sexual</w:t>
      </w:r>
      <w:r>
        <w:t xml:space="preserve"> (p. 97-125). México DF: PUEG/UNAM – </w:t>
      </w:r>
      <w:r>
        <w:lastRenderedPageBreak/>
        <w:t>Miguel Ángel Porrúa.</w:t>
      </w:r>
    </w:p>
    <w:p w:rsidR="006E62C5" w:rsidRDefault="00446E2A">
      <w:pPr>
        <w:spacing w:after="120" w:line="240" w:lineRule="auto"/>
        <w:jc w:val="both"/>
      </w:pPr>
      <w:r>
        <w:t xml:space="preserve">Rubin, Gayle [1982] (1989). “Reflexionando sobre el sexo: notas para una teoría radical de la sexualidad”. En Vance, Carole (comp.), </w:t>
      </w:r>
      <w:r>
        <w:rPr>
          <w:i/>
        </w:rPr>
        <w:t>Placer y peligro. Explorando la sexualidad femenina</w:t>
      </w:r>
      <w:r>
        <w:t xml:space="preserve"> (p. 113-190). Madrid: Hablan las mujeres. </w:t>
      </w:r>
    </w:p>
    <w:p w:rsidR="006E62C5" w:rsidRDefault="00446E2A">
      <w:pPr>
        <w:spacing w:after="120" w:line="240" w:lineRule="auto"/>
        <w:jc w:val="both"/>
      </w:pPr>
      <w:r>
        <w:t xml:space="preserve">Laqueur, Thomas [1990] (1994).  </w:t>
      </w:r>
      <w:r>
        <w:rPr>
          <w:i/>
        </w:rPr>
        <w:t>La construcción del sexo. Cuerpo y género desde los griegos hasta Freud</w:t>
      </w:r>
      <w:r>
        <w:t>.  Madrid: Cátedra. Selección: Prefacio, Capítulos 1 “Sobre el lenguaje y la carne” y 5 “El descubrimiento de los sexos”.</w:t>
      </w:r>
    </w:p>
    <w:p w:rsidR="006E62C5" w:rsidRDefault="00446E2A">
      <w:pPr>
        <w:spacing w:after="120" w:line="240" w:lineRule="auto"/>
        <w:rPr>
          <w:u w:val="single"/>
        </w:rPr>
      </w:pPr>
      <w:r>
        <w:rPr>
          <w:u w:val="single"/>
        </w:rPr>
        <w:t>Bibliografía de referencia</w:t>
      </w:r>
    </w:p>
    <w:p w:rsidR="006E62C5" w:rsidRDefault="00446E2A">
      <w:pPr>
        <w:spacing w:after="120" w:line="240" w:lineRule="auto"/>
        <w:jc w:val="both"/>
      </w:pPr>
      <w:r>
        <w:t xml:space="preserve">Rubin, Gayle (1986) [1975]. "El tráfico de mujeres: notas sobre la economía política del sexo". En </w:t>
      </w:r>
      <w:r>
        <w:rPr>
          <w:i/>
        </w:rPr>
        <w:t>Nueva antropología</w:t>
      </w:r>
      <w:r>
        <w:t xml:space="preserve">, vol. VIII, n° 30, p. 95-145. </w:t>
      </w:r>
    </w:p>
    <w:p w:rsidR="006E62C5" w:rsidRDefault="00446E2A">
      <w:pPr>
        <w:spacing w:after="120" w:line="240" w:lineRule="auto"/>
        <w:jc w:val="both"/>
      </w:pPr>
      <w:r>
        <w:t xml:space="preserve">Scott, Joan W. [1986] (1996). “El género: una categoría útil para el análisis histórico”. En Lamas, Marta (comp.), </w:t>
      </w:r>
      <w:r>
        <w:rPr>
          <w:i/>
        </w:rPr>
        <w:t xml:space="preserve">El género. La construcción cultural de la diferencia sexual </w:t>
      </w:r>
      <w:r>
        <w:t>(p. 265-302). México DF: PUEG/UNAM – Miguel Ángel Porrúa.</w:t>
      </w:r>
    </w:p>
    <w:p w:rsidR="006E62C5" w:rsidRDefault="00446E2A">
      <w:pPr>
        <w:spacing w:after="120" w:line="240" w:lineRule="auto"/>
        <w:jc w:val="both"/>
      </w:pPr>
      <w:r>
        <w:t xml:space="preserve">Haraway, Donna [1989] (1991). “Género para un diccionario marxista”. En </w:t>
      </w:r>
      <w:r>
        <w:rPr>
          <w:i/>
        </w:rPr>
        <w:t xml:space="preserve">Ciencia, cyborgs y mujeres. La reinvención de la naturaleza </w:t>
      </w:r>
      <w:r>
        <w:t>(p. 213-250). Madrid: Cátedra.</w:t>
      </w:r>
    </w:p>
    <w:p w:rsidR="006E62C5" w:rsidRDefault="00446E2A">
      <w:pPr>
        <w:spacing w:after="120" w:line="240" w:lineRule="auto"/>
        <w:jc w:val="both"/>
      </w:pPr>
      <w:r>
        <w:t xml:space="preserve">Butler, Judith [1990] (2001). </w:t>
      </w:r>
      <w:r>
        <w:rPr>
          <w:i/>
        </w:rPr>
        <w:t>El género en disputa. El feminismo y la subversión de la identidad</w:t>
      </w:r>
      <w:r>
        <w:t>. Buenos Aires: Paidós. Prefacios y Capítulo 1 “Sujetos de sexo/género/deseo”.</w:t>
      </w:r>
    </w:p>
    <w:p w:rsidR="006E62C5" w:rsidRDefault="00446E2A">
      <w:pPr>
        <w:spacing w:after="120" w:line="240" w:lineRule="auto"/>
        <w:jc w:val="both"/>
      </w:pPr>
      <w:r>
        <w:t xml:space="preserve">Lamas, Marta [1993] (1996). “Usos, dificultades y posibilidades de la categoría ‘género’”. En Lamas, Marta (comp.), </w:t>
      </w:r>
      <w:r>
        <w:rPr>
          <w:i/>
        </w:rPr>
        <w:t>El género. La construcción cultural de la diferencia sexual</w:t>
      </w:r>
      <w:r>
        <w:t xml:space="preserve"> (p. 327-366). México DF: PUEG/UNAM – Miguel Ángel Porrúa.</w:t>
      </w:r>
    </w:p>
    <w:p w:rsidR="006E62C5" w:rsidRDefault="00446E2A">
      <w:pPr>
        <w:spacing w:after="120" w:line="240" w:lineRule="auto"/>
        <w:jc w:val="both"/>
      </w:pPr>
      <w:r>
        <w:t xml:space="preserve">Preciado, B. (2009). “La invención del género, o el tecnocordero que devora a los lobos”. En AAVV </w:t>
      </w:r>
      <w:r>
        <w:rPr>
          <w:i/>
        </w:rPr>
        <w:t>Biopolítica</w:t>
      </w:r>
      <w:r>
        <w:t xml:space="preserve"> (p. 15-42). Buenos Aires: Ají de Pollo.</w:t>
      </w:r>
    </w:p>
    <w:p w:rsidR="006E62C5" w:rsidRDefault="00446E2A">
      <w:pPr>
        <w:spacing w:after="240" w:line="240" w:lineRule="auto"/>
        <w:jc w:val="both"/>
      </w:pPr>
      <w:bookmarkStart w:id="0" w:name="_e5a8awi5njak" w:colFirst="0" w:colLast="0"/>
      <w:bookmarkEnd w:id="0"/>
      <w:r>
        <w:t xml:space="preserve">Serano, Julia (2014). </w:t>
      </w:r>
      <w:r w:rsidRPr="002F3625">
        <w:rPr>
          <w:lang w:val="en-US"/>
        </w:rPr>
        <w:t xml:space="preserve">“Whipping Girl. Cissexism and Cis Privilege Revisited - Part 1: Who Exactly Does ‘Cis’ Refer To?”. </w:t>
      </w:r>
      <w:r>
        <w:t xml:space="preserve">Disponible en: http://juliaserano.blogspot.com.ar/2014/10/cissexism-and-cis-privilege-revisited.html Acceso: 10 de Agosto de 2016.  </w:t>
      </w:r>
    </w:p>
    <w:p w:rsidR="006E62C5" w:rsidRDefault="00446E2A">
      <w:pPr>
        <w:spacing w:after="120" w:line="240" w:lineRule="auto"/>
        <w:jc w:val="both"/>
        <w:rPr>
          <w:b/>
        </w:rPr>
      </w:pPr>
      <w:r>
        <w:rPr>
          <w:b/>
        </w:rPr>
        <w:t>UNIDAD 2. La aparición de la raza</w:t>
      </w:r>
    </w:p>
    <w:p w:rsidR="006E62C5" w:rsidRDefault="00446E2A">
      <w:pPr>
        <w:spacing w:after="180" w:line="240" w:lineRule="auto"/>
        <w:jc w:val="both"/>
      </w:pPr>
      <w:r>
        <w:t xml:space="preserve">Distanciándose de la biología: la raza como categoría relevante para las ciencias sociales. El feminismo negro y sus aportes a la discusión de género: orígenes, Segunda Ola y diásporas. La raza como signo. Culturas nacionales y razas en Argentina, Brasil y Estados Unidos. Negritud, otrificación y exclusión. Crítica de la razón negra y el devenir-negro-del-mundo. Racismo y sintaxis racial. Mulatos, pardos, mestizos y criollos en Argentina. Del sexo al género, y de la raza a la etnicidad. Estética y política en mujeres negras. </w:t>
      </w:r>
    </w:p>
    <w:p w:rsidR="006E62C5" w:rsidRDefault="00446E2A">
      <w:pPr>
        <w:spacing w:after="120" w:line="240" w:lineRule="auto"/>
        <w:rPr>
          <w:u w:val="single"/>
        </w:rPr>
      </w:pPr>
      <w:r>
        <w:rPr>
          <w:u w:val="single"/>
        </w:rPr>
        <w:t>Bibliografía obligatoria</w:t>
      </w:r>
    </w:p>
    <w:p w:rsidR="006E62C5" w:rsidRDefault="00446E2A">
      <w:pPr>
        <w:spacing w:after="120" w:line="240" w:lineRule="auto"/>
        <w:jc w:val="both"/>
      </w:pPr>
      <w:r>
        <w:t xml:space="preserve">Segato, Rita (2007). “Raza es signo”. En </w:t>
      </w:r>
      <w:r>
        <w:rPr>
          <w:i/>
        </w:rPr>
        <w:t xml:space="preserve">La Nación y sus otros: raza, etnicidad y diversidad religiosa en tiempos de políticas de la identidad </w:t>
      </w:r>
      <w:r>
        <w:t>(p. 131-150). Buenos Aires: Prometeo.</w:t>
      </w:r>
    </w:p>
    <w:p w:rsidR="006E62C5" w:rsidRDefault="00446E2A">
      <w:pPr>
        <w:spacing w:after="120" w:line="240" w:lineRule="auto"/>
        <w:jc w:val="both"/>
      </w:pPr>
      <w:r>
        <w:t xml:space="preserve">Mbembe, Achille (2016). </w:t>
      </w:r>
      <w:r>
        <w:rPr>
          <w:i/>
        </w:rPr>
        <w:t>Crítica de la razón negra</w:t>
      </w:r>
      <w:r>
        <w:t xml:space="preserve">. Buenos Aires: Futuro anterior. Selección: Prólogo, Introducción y Capítulo 1 “El sujeto de raza”. </w:t>
      </w:r>
    </w:p>
    <w:p w:rsidR="006E62C5" w:rsidRDefault="00446E2A">
      <w:pPr>
        <w:spacing w:after="120" w:line="240" w:lineRule="auto"/>
        <w:jc w:val="both"/>
      </w:pPr>
      <w:r>
        <w:t xml:space="preserve">Stolcke, Verena (2000). “¿Es el sexo para el género lo que la raza para la etnicidad... y la naturaleza para </w:t>
      </w:r>
      <w:r>
        <w:lastRenderedPageBreak/>
        <w:t xml:space="preserve">la sociedad?”. En </w:t>
      </w:r>
      <w:r>
        <w:rPr>
          <w:i/>
        </w:rPr>
        <w:t>Política y Cultura</w:t>
      </w:r>
      <w:r>
        <w:t>, nº 14, p. 25-60.</w:t>
      </w:r>
    </w:p>
    <w:p w:rsidR="006E62C5" w:rsidRDefault="00446E2A">
      <w:pPr>
        <w:spacing w:after="180" w:line="240" w:lineRule="auto"/>
        <w:jc w:val="both"/>
      </w:pPr>
      <w:r>
        <w:t xml:space="preserve">hooks, bell. (2005) [1988]. “Alisando nuestro pelo”. </w:t>
      </w:r>
      <w:r>
        <w:rPr>
          <w:i/>
        </w:rPr>
        <w:t>La Gaceta de Cuba</w:t>
      </w:r>
      <w:r>
        <w:t xml:space="preserve">, enero-febrero, nº 1, p. 70-73. </w:t>
      </w:r>
    </w:p>
    <w:p w:rsidR="006E62C5" w:rsidRDefault="00446E2A">
      <w:pPr>
        <w:spacing w:after="120" w:line="240" w:lineRule="auto"/>
        <w:rPr>
          <w:u w:val="single"/>
        </w:rPr>
      </w:pPr>
      <w:r>
        <w:rPr>
          <w:u w:val="single"/>
        </w:rPr>
        <w:t>Bibliografía de referencia</w:t>
      </w:r>
    </w:p>
    <w:p w:rsidR="006E62C5" w:rsidRDefault="00D73706">
      <w:pPr>
        <w:spacing w:after="120" w:line="240" w:lineRule="auto"/>
        <w:jc w:val="both"/>
      </w:pPr>
      <w:r>
        <w:t>Com</w:t>
      </w:r>
      <w:r w:rsidR="00446E2A">
        <w:t xml:space="preserve">baheeRiverCollective [1977] (2012). “Un manifiesto feminista Negro”. En Raquel (Lucas) Platero (ed.), </w:t>
      </w:r>
      <w:r w:rsidR="00446E2A">
        <w:rPr>
          <w:i/>
        </w:rPr>
        <w:t>Intersecciones: cuerpos y sexualidades en la encrucijada. Temas contemporáneos</w:t>
      </w:r>
      <w:r w:rsidR="00446E2A">
        <w:t xml:space="preserve"> (p. 75-86). Barcelona: edicionsbellaterra.</w:t>
      </w:r>
    </w:p>
    <w:p w:rsidR="006E62C5" w:rsidRDefault="00446E2A">
      <w:pPr>
        <w:spacing w:after="120" w:line="240" w:lineRule="auto"/>
        <w:jc w:val="both"/>
      </w:pPr>
      <w:r>
        <w:t xml:space="preserve">hooks, bell [2000] (2017). </w:t>
      </w:r>
      <w:r>
        <w:rPr>
          <w:i/>
        </w:rPr>
        <w:t>El feminismo es para todo el mundo</w:t>
      </w:r>
      <w:r>
        <w:t xml:space="preserve">. Madrid: Traficantes de sueños. </w:t>
      </w:r>
    </w:p>
    <w:p w:rsidR="006E62C5" w:rsidRDefault="00446E2A" w:rsidP="00D73706">
      <w:pPr>
        <w:spacing w:after="120" w:line="240" w:lineRule="auto"/>
        <w:jc w:val="both"/>
      </w:pPr>
      <w:r>
        <w:t xml:space="preserve">Frigerio, Alejandro (2002). La expansión de religiones afrobrasileñas en Argentina: Representaciones conflictivas de cultura, raza y nación en un contexto de integración regional. </w:t>
      </w:r>
      <w:r>
        <w:rPr>
          <w:i/>
        </w:rPr>
        <w:t>Archives des Sciences Sociales des Religions</w:t>
      </w:r>
      <w:r>
        <w:t xml:space="preserve"> nº 117, p. 127-150.</w:t>
      </w:r>
    </w:p>
    <w:p w:rsidR="006E62C5" w:rsidRDefault="00446E2A">
      <w:pPr>
        <w:spacing w:after="120" w:line="240" w:lineRule="auto"/>
        <w:jc w:val="both"/>
      </w:pPr>
      <w:r>
        <w:t xml:space="preserve">Jabardo, Mercedes (2012). “Introducción. Construyendo puentes: en diálogo desde / con el feminismo negro”. En AAVV, </w:t>
      </w:r>
      <w:r>
        <w:rPr>
          <w:i/>
        </w:rPr>
        <w:t>Feminismos negros. Una antología</w:t>
      </w:r>
      <w:r>
        <w:t xml:space="preserve"> (p. 27-56). Madrid: Traficantes de sueños. </w:t>
      </w:r>
    </w:p>
    <w:p w:rsidR="006E62C5" w:rsidRDefault="00446E2A">
      <w:pPr>
        <w:spacing w:after="120" w:line="240" w:lineRule="auto"/>
        <w:jc w:val="both"/>
      </w:pPr>
      <w:r>
        <w:t xml:space="preserve">Carby, Hazel (2012). “Mujeres blancas, ¡escuchad! El feminismo negro y los límites de la hermandad femenina”. En AAVV, </w:t>
      </w:r>
      <w:r>
        <w:rPr>
          <w:i/>
        </w:rPr>
        <w:t>Feminismos negros. Una antología</w:t>
      </w:r>
      <w:r>
        <w:t xml:space="preserve"> (p. 209-243). Madrid: Traficantes de sueños. </w:t>
      </w:r>
    </w:p>
    <w:p w:rsidR="006E62C5" w:rsidRDefault="00446E2A">
      <w:pPr>
        <w:spacing w:after="120" w:line="240" w:lineRule="auto"/>
        <w:jc w:val="both"/>
      </w:pPr>
      <w:r>
        <w:t xml:space="preserve">Adamovsky, Ezequiel (2012). “El color de la nación argentina. Conflictos y negociaciones por la definición de un </w:t>
      </w:r>
      <w:r>
        <w:rPr>
          <w:i/>
        </w:rPr>
        <w:t>ethnos</w:t>
      </w:r>
      <w:r>
        <w:t xml:space="preserve"> nacional, de la crisis al Bicentenario”. En </w:t>
      </w:r>
      <w:r>
        <w:rPr>
          <w:i/>
        </w:rPr>
        <w:t>JahrbuchfürGeschichteLateinamerikas-Anuario de Historia de América Latina</w:t>
      </w:r>
      <w:r>
        <w:t> nº 49, p. 343-364.</w:t>
      </w:r>
    </w:p>
    <w:p w:rsidR="006E62C5" w:rsidRDefault="00446E2A" w:rsidP="00D73706">
      <w:pPr>
        <w:spacing w:after="240" w:line="240" w:lineRule="auto"/>
        <w:jc w:val="both"/>
      </w:pPr>
      <w:r>
        <w:t xml:space="preserve">Guzmán, Florencia (2013). “Performatividad social de las (sub)categorías coloniales. Mulatos, pardos, mestizos y criollos en tiempos de cambios, guerra y política, en el interior de la Argentina”. En Guzmán, Florencia y Geler, Lea (eds.), </w:t>
      </w:r>
      <w:r>
        <w:rPr>
          <w:i/>
        </w:rPr>
        <w:t>Cartografías afrolatinoamericanas: perspectivas situadas para análisis transfronterizos</w:t>
      </w:r>
      <w:r>
        <w:t xml:space="preserve"> (p. 57-83). Buenos Aires: Biblos.</w:t>
      </w:r>
    </w:p>
    <w:p w:rsidR="006E62C5" w:rsidRDefault="00446E2A">
      <w:pPr>
        <w:spacing w:after="120" w:line="240" w:lineRule="auto"/>
      </w:pPr>
      <w:r>
        <w:rPr>
          <w:b/>
        </w:rPr>
        <w:t>UNIDAD 3.Exploraciones interseccionales</w:t>
      </w:r>
    </w:p>
    <w:p w:rsidR="006E62C5" w:rsidRDefault="00446E2A">
      <w:pPr>
        <w:spacing w:after="180" w:line="240" w:lineRule="auto"/>
        <w:jc w:val="both"/>
        <w:rPr>
          <w:u w:val="single"/>
        </w:rPr>
      </w:pPr>
      <w:r>
        <w:t xml:space="preserve">De la clase social como principal dimensión de desigualdad a su interrelación con otros clivajes: el género, la raza y la etnicidad. La racialización de las relaciones de clase. Interseccionalidad: definiciones y antecedentes teóricos y políticos. Experiencias culturales generizadas y racializadas. Amor, sexo y </w:t>
      </w:r>
      <w:r>
        <w:rPr>
          <w:i/>
        </w:rPr>
        <w:t>blues</w:t>
      </w:r>
      <w:r>
        <w:t xml:space="preserve">: la sexualidad como campo de emancipación post esclavitud en Estados Unidos. “Negro” como categoría estética y ética en el cuarteto. Género y conceptualización moral de la sexualidad. </w:t>
      </w:r>
    </w:p>
    <w:p w:rsidR="006E62C5" w:rsidRDefault="00446E2A">
      <w:pPr>
        <w:spacing w:after="120" w:line="240" w:lineRule="auto"/>
      </w:pPr>
      <w:r>
        <w:rPr>
          <w:u w:val="single"/>
        </w:rPr>
        <w:t>Bibliografía obligatoria</w:t>
      </w:r>
    </w:p>
    <w:p w:rsidR="006E62C5" w:rsidRDefault="00446E2A">
      <w:pPr>
        <w:spacing w:after="120" w:line="240" w:lineRule="auto"/>
        <w:jc w:val="both"/>
      </w:pPr>
      <w:r>
        <w:t xml:space="preserve">Crenshaw, KImberlé [1991] (2012). “Cartografiando los márgenes: Interseccionalidad, políticas identitarias y violencia contra las mujeres de color”. En Raquel (Lucas) Platero (ed.), </w:t>
      </w:r>
      <w:r>
        <w:rPr>
          <w:i/>
        </w:rPr>
        <w:t>Intersecciones: cuerpos y sexualidades en la encrucijada. Temas contemporáneos</w:t>
      </w:r>
      <w:r>
        <w:t xml:space="preserve"> (p. 88-123). Op. Cit. </w:t>
      </w:r>
    </w:p>
    <w:p w:rsidR="006E62C5" w:rsidRDefault="00446E2A">
      <w:pPr>
        <w:spacing w:after="120" w:line="240" w:lineRule="auto"/>
        <w:jc w:val="both"/>
      </w:pPr>
      <w:r>
        <w:t xml:space="preserve">Mahmood, Saba (2007). “Teoría Feminista y el agente dócil: algunas reflexiones sobre el renacimiento islámico en Egipto”. En Liliana Suárez Navaz y Rosalva Aída Hernández Castillo (eds.) </w:t>
      </w:r>
      <w:r>
        <w:rPr>
          <w:i/>
        </w:rPr>
        <w:t>Descolonizando el Feminismo: Teorías y Prácticas desde los Márgenes</w:t>
      </w:r>
      <w:r>
        <w:t xml:space="preserve"> (p. 162-214). Valencia: Cátedra.</w:t>
      </w:r>
    </w:p>
    <w:p w:rsidR="006E62C5" w:rsidRDefault="00446E2A">
      <w:pPr>
        <w:spacing w:after="120" w:line="240" w:lineRule="auto"/>
        <w:jc w:val="both"/>
        <w:rPr>
          <w:color w:val="FF0000"/>
        </w:rPr>
      </w:pPr>
      <w:r>
        <w:t xml:space="preserve">Jelin, Elizabeth (2014). “Desigualdades de clase, género y etnicidad/raza: realidades históricas, aproximaciones analíticas”. En </w:t>
      </w:r>
      <w:r>
        <w:rPr>
          <w:i/>
        </w:rPr>
        <w:t>Ensambles</w:t>
      </w:r>
      <w:r>
        <w:t>, vol. 1, nº 1, p. 11-36.</w:t>
      </w:r>
    </w:p>
    <w:p w:rsidR="006E62C5" w:rsidRDefault="00446E2A">
      <w:pPr>
        <w:spacing w:after="180" w:line="240" w:lineRule="auto"/>
        <w:jc w:val="both"/>
      </w:pPr>
      <w:r>
        <w:t xml:space="preserve">Blázquez, Gustavo (2008). “Negros de alma. Raza y procesos de subjetivación juveniles en torno a los Bailes de Cuarteto (Córdoba, Argentina)”. En </w:t>
      </w:r>
      <w:r>
        <w:rPr>
          <w:i/>
        </w:rPr>
        <w:t>Estudios en Antropología Social</w:t>
      </w:r>
      <w:r>
        <w:t xml:space="preserve">, vol. 1, nº 1, p. 7-34. </w:t>
      </w:r>
    </w:p>
    <w:p w:rsidR="006E62C5" w:rsidRDefault="00446E2A">
      <w:pPr>
        <w:spacing w:after="120" w:line="240" w:lineRule="auto"/>
        <w:rPr>
          <w:u w:val="single"/>
        </w:rPr>
      </w:pPr>
      <w:r>
        <w:rPr>
          <w:u w:val="single"/>
        </w:rPr>
        <w:lastRenderedPageBreak/>
        <w:t>Bibliografía de referencia</w:t>
      </w:r>
    </w:p>
    <w:p w:rsidR="006E62C5" w:rsidRDefault="00446E2A">
      <w:pPr>
        <w:spacing w:after="120" w:line="240" w:lineRule="auto"/>
        <w:jc w:val="both"/>
      </w:pPr>
      <w:r w:rsidRPr="002F3625">
        <w:rPr>
          <w:lang w:val="en-US"/>
        </w:rPr>
        <w:t>Ángela Y. Davis (2012) [1988]. “</w:t>
      </w:r>
      <w:r w:rsidRPr="002F3625">
        <w:rPr>
          <w:i/>
          <w:lang w:val="en-US"/>
        </w:rPr>
        <w:t>I Used To Be Your Sweet Mama</w:t>
      </w:r>
      <w:r w:rsidRPr="002F3625">
        <w:rPr>
          <w:lang w:val="en-US"/>
        </w:rPr>
        <w:t xml:space="preserve">. </w:t>
      </w:r>
      <w:r>
        <w:t xml:space="preserve">Ideología, sexualidad y domesticidad”. En AAVV </w:t>
      </w:r>
      <w:r>
        <w:rPr>
          <w:i/>
        </w:rPr>
        <w:t>Feminismos negros. Una antología</w:t>
      </w:r>
      <w:r>
        <w:t xml:space="preserve"> (p. 135-186). Madrid: Traficantes de sueños. </w:t>
      </w:r>
    </w:p>
    <w:p w:rsidR="006E62C5" w:rsidRDefault="00446E2A">
      <w:pPr>
        <w:spacing w:after="120" w:line="240" w:lineRule="auto"/>
        <w:jc w:val="both"/>
      </w:pPr>
      <w:r>
        <w:t xml:space="preserve">Margulis, Mario (1999). “La ‘racialización’ de las relaciones de clase”. En Mario Margulis, Marcelo Urresti y otros, </w:t>
      </w:r>
      <w:r>
        <w:rPr>
          <w:i/>
        </w:rPr>
        <w:t>La segregación negada. Cultura y discriminación social</w:t>
      </w:r>
      <w:r>
        <w:t xml:space="preserve"> (p. 37-62). Buenos Aires: Biblos. </w:t>
      </w:r>
    </w:p>
    <w:p w:rsidR="006E62C5" w:rsidRDefault="00446E2A" w:rsidP="00D73706">
      <w:pPr>
        <w:spacing w:after="120" w:line="240" w:lineRule="auto"/>
        <w:jc w:val="both"/>
      </w:pPr>
      <w:r>
        <w:t xml:space="preserve">Giacomini, Sonia Maria (2006). </w:t>
      </w:r>
      <w:r w:rsidRPr="002F3625">
        <w:rPr>
          <w:lang w:val="pt-BR"/>
        </w:rPr>
        <w:t xml:space="preserve">“Mulatas profissionais: raça, gênero e ocupação”. </w:t>
      </w:r>
      <w:r>
        <w:t xml:space="preserve">En </w:t>
      </w:r>
      <w:r>
        <w:rPr>
          <w:i/>
        </w:rPr>
        <w:t>EstudosFeministas</w:t>
      </w:r>
      <w:r>
        <w:t xml:space="preserve"> vol. 14, nº 1, p. 85-101.</w:t>
      </w:r>
    </w:p>
    <w:p w:rsidR="006E62C5" w:rsidRDefault="00446E2A">
      <w:pPr>
        <w:spacing w:after="120" w:line="240" w:lineRule="auto"/>
        <w:jc w:val="both"/>
      </w:pPr>
      <w:r>
        <w:t xml:space="preserve">Wade, Peter (2008). “Debates contemporáneos sobre raza etnicidad, género y sexualidad en las ciencias sociales”. En Peter Wade, Fernando Urrea Giraldo y Mara Viveros Vigoya (eds.), </w:t>
      </w:r>
      <w:r>
        <w:rPr>
          <w:i/>
        </w:rPr>
        <w:t xml:space="preserve">Raza, etnicidad y sexualidades. Ciudadanía y multiculturalismo en América Latina </w:t>
      </w:r>
      <w:r>
        <w:t>(p. 41-66). Bogotá: Universidad Nacional de Colombia, Facultad de Ciencias Humanas. Centro de Estudios Sociales (CES), Escuela de Estudios de Género.</w:t>
      </w:r>
    </w:p>
    <w:p w:rsidR="006E62C5" w:rsidRDefault="00446E2A">
      <w:pPr>
        <w:spacing w:after="120" w:line="240" w:lineRule="auto"/>
        <w:jc w:val="both"/>
      </w:pPr>
      <w:r>
        <w:t xml:space="preserve">Moutinho, Laura (2008). “Raza, género y sexualidad en el Brasil contemporáneo”. En Peter Wade, Fernando Urrea Giraldo y Mara Viveros Vigoya (eds.), </w:t>
      </w:r>
      <w:r>
        <w:rPr>
          <w:i/>
        </w:rPr>
        <w:t xml:space="preserve">Raza, etnicidad y sexualidades </w:t>
      </w:r>
      <w:r>
        <w:t xml:space="preserve">(p. 223-245). Op. Cit.  </w:t>
      </w:r>
    </w:p>
    <w:p w:rsidR="006E62C5" w:rsidRDefault="00446E2A">
      <w:pPr>
        <w:spacing w:after="120" w:line="240" w:lineRule="auto"/>
        <w:jc w:val="both"/>
      </w:pPr>
      <w:r>
        <w:t xml:space="preserve">David Berná Serna (2012). “Cartografías desde los Márgenes. Gitanos gays en el estado español”. En Raquel (Lucas) Platero (ed.), </w:t>
      </w:r>
      <w:r>
        <w:rPr>
          <w:i/>
        </w:rPr>
        <w:t>Intersecciones: cuerpos y sexualidades en la encrucijada. Temas contemporáneos</w:t>
      </w:r>
      <w:r>
        <w:t xml:space="preserve"> (p. 217-231). Op. Cit. </w:t>
      </w:r>
    </w:p>
    <w:p w:rsidR="006E62C5" w:rsidRDefault="00446E2A" w:rsidP="00D73706">
      <w:pPr>
        <w:spacing w:after="240" w:line="240" w:lineRule="auto"/>
        <w:jc w:val="both"/>
      </w:pPr>
      <w:r>
        <w:t xml:space="preserve">Viveros Vigoya, Mara y Gregorio Gil, Carmen (2014). “Presentación. Sexualidades e interseccionalidad en América Latina, el Caribe y su diáspora”. En </w:t>
      </w:r>
      <w:r>
        <w:rPr>
          <w:i/>
        </w:rPr>
        <w:t xml:space="preserve">Revista de Estudios Sociales </w:t>
      </w:r>
      <w:r>
        <w:t>nº 49, p. 9-16.</w:t>
      </w:r>
    </w:p>
    <w:p w:rsidR="006E62C5" w:rsidRDefault="00446E2A">
      <w:pPr>
        <w:spacing w:after="120" w:line="240" w:lineRule="auto"/>
        <w:rPr>
          <w:b/>
        </w:rPr>
      </w:pPr>
      <w:r>
        <w:rPr>
          <w:b/>
        </w:rPr>
        <w:t>UNIDAD 4. Prácticas sexuales, eróticas y afectivas</w:t>
      </w:r>
    </w:p>
    <w:p w:rsidR="006E62C5" w:rsidRDefault="00446E2A">
      <w:pPr>
        <w:spacing w:after="180" w:line="240" w:lineRule="auto"/>
        <w:jc w:val="both"/>
      </w:pPr>
      <w:r>
        <w:t>Paradigmas de sexualidad. La hipótesis represiva de la sexualidad de los freudo-marxistas (Reich, Marcuse) y la crítica de Foucault. El surgimiento del dispositivo de la sexualidad. La crítica feminista a la sexualidad sin género de Foucault. Orientación sexual e identidad y expresión de género. Masculinidades femeninas y socialización lésbica. Dinámicas morales, afectivas, lingüísticas y políticas de producción de identidades y comunidades sexuales.</w:t>
      </w:r>
    </w:p>
    <w:p w:rsidR="006E62C5" w:rsidRDefault="00446E2A">
      <w:pPr>
        <w:spacing w:after="120" w:line="240" w:lineRule="auto"/>
      </w:pPr>
      <w:r>
        <w:rPr>
          <w:u w:val="single"/>
        </w:rPr>
        <w:t>Bibliografía obligatoria</w:t>
      </w:r>
    </w:p>
    <w:p w:rsidR="006E62C5" w:rsidRDefault="00446E2A">
      <w:pPr>
        <w:spacing w:after="120" w:line="240" w:lineRule="auto"/>
        <w:jc w:val="both"/>
      </w:pPr>
      <w:r>
        <w:t xml:space="preserve">Figari, Carlos (2012). “Discursos sobre la sexualidad”. En José Manuel Morán Faúndes, María Candelaria SgróRuata y Juan Marco Vaggione (eds.), </w:t>
      </w:r>
      <w:r>
        <w:rPr>
          <w:i/>
        </w:rPr>
        <w:t>Sexualidades, desigualdades y derechos. Reflexiones en torno a los derechos sexuales y reproductivos</w:t>
      </w:r>
      <w:r>
        <w:t xml:space="preserve"> (p. 59-83). Córdoba: Ciencia, Derecho y Sociedad, Universidad Nacional de Córdoba. </w:t>
      </w:r>
    </w:p>
    <w:p w:rsidR="006E62C5" w:rsidRDefault="00446E2A">
      <w:pPr>
        <w:spacing w:after="120" w:line="240" w:lineRule="auto"/>
        <w:jc w:val="both"/>
      </w:pPr>
      <w:r>
        <w:t xml:space="preserve">Lacombe, Andrea (2006). </w:t>
      </w:r>
      <w:r>
        <w:rPr>
          <w:i/>
        </w:rPr>
        <w:t>“Para hombre ya estoy yo”. Masculinidades y socialización lésbica en un bar del centro de Río de Janeiro</w:t>
      </w:r>
      <w:r>
        <w:t xml:space="preserve">. Buenos Aires: Antropofagia. Selección: Prólogo y capítulo 2 “Ser do babado: relaciones en el Flor do André”. </w:t>
      </w:r>
    </w:p>
    <w:p w:rsidR="006E62C5" w:rsidRDefault="00446E2A">
      <w:pPr>
        <w:spacing w:after="120" w:line="240" w:lineRule="auto"/>
        <w:jc w:val="both"/>
      </w:pPr>
      <w:r>
        <w:t xml:space="preserve">Jones, Daniel (2010). </w:t>
      </w:r>
      <w:r>
        <w:rPr>
          <w:i/>
        </w:rPr>
        <w:t>Sexualidades adolescentes. Amor, placer y control en la Argentina contemporánea</w:t>
      </w:r>
      <w:r>
        <w:t xml:space="preserve">. Buenos Aires: CICCUS y CLACSO. Selección: Capítulo 6 “Chismes y control social”. </w:t>
      </w:r>
    </w:p>
    <w:p w:rsidR="006E62C5" w:rsidRDefault="00446E2A">
      <w:pPr>
        <w:spacing w:after="180" w:line="240" w:lineRule="auto"/>
        <w:jc w:val="both"/>
        <w:rPr>
          <w:color w:val="FF0000"/>
        </w:rPr>
      </w:pPr>
      <w:r>
        <w:t xml:space="preserve">Viveros Vigoya, Mara (2008). “Más que una cuestión de piel. Determinantes sociales y orientaciones subjetivas en los encuentros y desencuentros heterosexuales entre mujeres y hombres negros y no negros en Bogotá”. En Peter Wade, Fernando Urrea Giraldo y Mara Viveros Vigoya (eds.), </w:t>
      </w:r>
      <w:r>
        <w:rPr>
          <w:i/>
        </w:rPr>
        <w:t xml:space="preserve">Raza, etnicidad </w:t>
      </w:r>
      <w:r>
        <w:rPr>
          <w:i/>
        </w:rPr>
        <w:lastRenderedPageBreak/>
        <w:t xml:space="preserve">y sexualidades </w:t>
      </w:r>
      <w:r>
        <w:t xml:space="preserve">(p. 247-277). Op. cit. </w:t>
      </w:r>
    </w:p>
    <w:p w:rsidR="006E62C5" w:rsidRDefault="00446E2A">
      <w:pPr>
        <w:spacing w:after="120" w:line="240" w:lineRule="auto"/>
        <w:rPr>
          <w:u w:val="single"/>
        </w:rPr>
      </w:pPr>
      <w:r>
        <w:rPr>
          <w:u w:val="single"/>
        </w:rPr>
        <w:t>Bibliografía de referencia</w:t>
      </w:r>
    </w:p>
    <w:p w:rsidR="006E62C5" w:rsidRDefault="00446E2A">
      <w:pPr>
        <w:spacing w:after="120" w:line="240" w:lineRule="auto"/>
        <w:jc w:val="both"/>
      </w:pPr>
      <w:r>
        <w:t xml:space="preserve">Foucault, Michel [1977] (2000). </w:t>
      </w:r>
      <w:r>
        <w:rPr>
          <w:i/>
        </w:rPr>
        <w:t>La historia de la sexualidad I. La voluntad de saber</w:t>
      </w:r>
      <w:r>
        <w:t>. México DF: Siglo XXI.</w:t>
      </w:r>
    </w:p>
    <w:p w:rsidR="006E62C5" w:rsidRDefault="00446E2A">
      <w:pPr>
        <w:spacing w:after="120" w:line="240" w:lineRule="auto"/>
        <w:jc w:val="both"/>
      </w:pPr>
      <w:r>
        <w:t xml:space="preserve">Foucault, Michel y Sennett, Richard [1981] (1992). “Sexualidad y soledad”. En Tomás Abraham (dir.), </w:t>
      </w:r>
      <w:r>
        <w:rPr>
          <w:i/>
        </w:rPr>
        <w:t>Foucault y la ética</w:t>
      </w:r>
      <w:r>
        <w:t xml:space="preserve"> (p. 341-369). Buenos Aires: Biblos.</w:t>
      </w:r>
    </w:p>
    <w:p w:rsidR="006E62C5" w:rsidRDefault="00446E2A">
      <w:pPr>
        <w:spacing w:after="120" w:line="240" w:lineRule="auto"/>
        <w:jc w:val="both"/>
      </w:pPr>
      <w:r>
        <w:t xml:space="preserve">De Lauretis, Teresa [1987] (1996). “La tecnología del género”. En </w:t>
      </w:r>
      <w:r>
        <w:rPr>
          <w:i/>
        </w:rPr>
        <w:t>Mora</w:t>
      </w:r>
      <w:r>
        <w:t>, nº 2, p. 6-34.</w:t>
      </w:r>
    </w:p>
    <w:p w:rsidR="006E62C5" w:rsidRDefault="00446E2A">
      <w:pPr>
        <w:spacing w:after="120" w:line="240" w:lineRule="auto"/>
        <w:jc w:val="both"/>
      </w:pPr>
      <w:r>
        <w:t xml:space="preserve">Sívori, Horacio (2005). </w:t>
      </w:r>
      <w:r>
        <w:rPr>
          <w:i/>
        </w:rPr>
        <w:t>Locas, chongos y gays. Sociabilidad homosexual masculina durante la década de 1990</w:t>
      </w:r>
      <w:r>
        <w:t>. Buenos Aires: Antropofagia. Selección: Prólogo y capítulo 4 “La interacción verbal en el ambiente”.</w:t>
      </w:r>
    </w:p>
    <w:p w:rsidR="006E62C5" w:rsidRDefault="00446E2A">
      <w:pPr>
        <w:spacing w:after="240" w:line="240" w:lineRule="auto"/>
        <w:jc w:val="both"/>
      </w:pPr>
      <w:r>
        <w:t xml:space="preserve">Meccia, Ernesto (2011). “La sociedad de los espejos rotos. Apuntes para una sociología de la gaycidad”. En </w:t>
      </w:r>
      <w:r>
        <w:rPr>
          <w:i/>
        </w:rPr>
        <w:t>Sexualidad, Salud y Sociedad-Revista Latinoamericana</w:t>
      </w:r>
      <w:r>
        <w:t xml:space="preserve"> nº 8, p. 131-148.</w:t>
      </w:r>
    </w:p>
    <w:p w:rsidR="006E62C5" w:rsidRDefault="00446E2A">
      <w:pPr>
        <w:spacing w:after="120" w:line="240" w:lineRule="auto"/>
        <w:jc w:val="both"/>
        <w:rPr>
          <w:b/>
        </w:rPr>
      </w:pPr>
      <w:r>
        <w:rPr>
          <w:b/>
        </w:rPr>
        <w:t>UNIDAD 5. Masculinidades</w:t>
      </w:r>
    </w:p>
    <w:p w:rsidR="006E62C5" w:rsidRDefault="00446E2A">
      <w:pPr>
        <w:spacing w:after="180" w:line="240" w:lineRule="auto"/>
        <w:jc w:val="both"/>
      </w:pPr>
      <w:r>
        <w:t xml:space="preserve">Género más allá de las mujeres: el surgimiento de los estudios sobre masculinidades. La construcción/organización social de la masculinidad. Machos y machismo. Masculinidad(es) hegemónica(s) y alternativas. Masculinidades femeninas. Feminismo y crítica antipatriarcal a los varones. </w:t>
      </w:r>
    </w:p>
    <w:p w:rsidR="006E62C5" w:rsidRDefault="00446E2A">
      <w:pPr>
        <w:spacing w:after="120" w:line="240" w:lineRule="auto"/>
      </w:pPr>
      <w:r>
        <w:rPr>
          <w:u w:val="single"/>
        </w:rPr>
        <w:t>Bibliografía obligatoria</w:t>
      </w:r>
    </w:p>
    <w:p w:rsidR="006E62C5" w:rsidRDefault="00446E2A">
      <w:pPr>
        <w:spacing w:after="120" w:line="240" w:lineRule="auto"/>
        <w:jc w:val="both"/>
      </w:pPr>
      <w:r>
        <w:t xml:space="preserve">Connel, W. R. (1977). “La organización social de la masculinidad”. En Valdés, Teresa y José, Olavarría (eds.), </w:t>
      </w:r>
      <w:r>
        <w:rPr>
          <w:i/>
        </w:rPr>
        <w:t>Masculinidad/es: poder y crisis</w:t>
      </w:r>
      <w:r>
        <w:t xml:space="preserve"> (p. 31-48). Santiago de Chile: ISIS-FLACSO-Ediciones de las Mujeres Nº24.</w:t>
      </w:r>
    </w:p>
    <w:p w:rsidR="006E62C5" w:rsidRDefault="00446E2A">
      <w:pPr>
        <w:spacing w:after="120" w:line="240" w:lineRule="auto"/>
        <w:jc w:val="both"/>
      </w:pPr>
      <w:r>
        <w:t xml:space="preserve">Halberstam, J. [1998] (2008). </w:t>
      </w:r>
      <w:r>
        <w:rPr>
          <w:i/>
        </w:rPr>
        <w:t>Masculinidad femenina</w:t>
      </w:r>
      <w:r>
        <w:t xml:space="preserve">. Barcelona-Madrid: Egales.  </w:t>
      </w:r>
    </w:p>
    <w:p w:rsidR="006E62C5" w:rsidRDefault="00446E2A">
      <w:pPr>
        <w:spacing w:after="120" w:line="240" w:lineRule="auto"/>
        <w:jc w:val="both"/>
      </w:pPr>
      <w:r>
        <w:t xml:space="preserve">JokinAzpiazu Carballo (2017). </w:t>
      </w:r>
      <w:r>
        <w:rPr>
          <w:i/>
        </w:rPr>
        <w:t>Masculinidades y feminismo</w:t>
      </w:r>
      <w:r>
        <w:t>. Selección: Capítulo 2 “</w:t>
      </w:r>
      <w:r>
        <w:rPr>
          <w:i/>
        </w:rPr>
        <w:t>Homo homini lupus</w:t>
      </w:r>
      <w:r>
        <w:t xml:space="preserve">. ¿Es posible pensar la masculinidad desde la masculinidad?” y 4 “Incomodidad productiva y aprendizaje del malestar” (p. 25-73 y 115-126). Barcelona: Virus editorial. </w:t>
      </w:r>
    </w:p>
    <w:p w:rsidR="006E62C5" w:rsidRDefault="00446E2A">
      <w:pPr>
        <w:spacing w:after="120" w:line="240" w:lineRule="auto"/>
        <w:rPr>
          <w:u w:val="single"/>
        </w:rPr>
      </w:pPr>
      <w:r>
        <w:rPr>
          <w:u w:val="single"/>
        </w:rPr>
        <w:t>Bibliografía de referencia</w:t>
      </w:r>
    </w:p>
    <w:p w:rsidR="006E62C5" w:rsidRDefault="00446E2A">
      <w:pPr>
        <w:spacing w:after="180" w:line="240" w:lineRule="auto"/>
        <w:jc w:val="both"/>
      </w:pPr>
      <w:r>
        <w:t xml:space="preserve">Kaufman, Michel (1995). “Los hombres, el feminismo y las experiencias contradictorias del poder entre los hombres”. En Luz G. Arango, Magdalena León, Mara Viveros (comps.), </w:t>
      </w:r>
      <w:r>
        <w:rPr>
          <w:i/>
        </w:rPr>
        <w:t>Género e identidad. Ensayos sobre lo femenino y lo masculino</w:t>
      </w:r>
      <w:r>
        <w:t xml:space="preserve"> (p. 123-146). Bogotá: Tercer mundo. </w:t>
      </w:r>
    </w:p>
    <w:p w:rsidR="006E62C5" w:rsidRDefault="00446E2A">
      <w:pPr>
        <w:spacing w:after="180" w:line="240" w:lineRule="auto"/>
        <w:jc w:val="both"/>
      </w:pPr>
      <w:r>
        <w:t xml:space="preserve">Gutman, Matthew (1998). “El machismo”. En Valdés Teresa y Olavarría, José (eds.), </w:t>
      </w:r>
      <w:r>
        <w:rPr>
          <w:i/>
        </w:rPr>
        <w:t>Masculinidades y equidad de género en América Latina</w:t>
      </w:r>
      <w:r>
        <w:t xml:space="preserve"> (p. 238-257). Santiago: Flacso.   </w:t>
      </w:r>
    </w:p>
    <w:p w:rsidR="006E62C5" w:rsidRDefault="00446E2A">
      <w:pPr>
        <w:spacing w:after="180" w:line="240" w:lineRule="auto"/>
        <w:jc w:val="both"/>
      </w:pPr>
      <w:r>
        <w:t xml:space="preserve">Nuñez Noriega, Guillermo (2007). “La producción de conocimientos sobre los hombres como sujetos genéricos: reflexiones epistemológicas”. En Amuchástegui, Ana y Szasz, Ivonne (coords.), </w:t>
      </w:r>
      <w:r>
        <w:rPr>
          <w:i/>
        </w:rPr>
        <w:t>Sucede que me canso de ser hombre: relatos y reflexiones sobre hombres y masculinidades en México</w:t>
      </w:r>
      <w:r>
        <w:t xml:space="preserve"> (39-71). México DF: El Colegio de México.</w:t>
      </w:r>
    </w:p>
    <w:p w:rsidR="006E62C5" w:rsidRDefault="00446E2A">
      <w:pPr>
        <w:spacing w:after="240" w:line="240" w:lineRule="auto"/>
        <w:jc w:val="both"/>
      </w:pPr>
      <w:r>
        <w:t xml:space="preserve">Rodrigo Parrini Roses (2007).  </w:t>
      </w:r>
      <w:r>
        <w:rPr>
          <w:i/>
        </w:rPr>
        <w:t>Panópticos y laberintos. Subjetivación, deseo y corporalidad en una cárcel de hombres</w:t>
      </w:r>
      <w:r>
        <w:t xml:space="preserve">. Selección: Capítulo 4 “El cuerpo, la intimidad, los deseos: masculinidad y erotismo” (p. 163-253). México DF: Colegio de México. </w:t>
      </w:r>
    </w:p>
    <w:p w:rsidR="006E62C5" w:rsidRDefault="00446E2A">
      <w:pPr>
        <w:spacing w:after="240" w:line="240" w:lineRule="auto"/>
        <w:jc w:val="both"/>
      </w:pPr>
      <w:r>
        <w:t xml:space="preserve">Palermo, Hernán (2016). La construcción social de la(s) masculinidad(es). Un análisis etnográfico acerca </w:t>
      </w:r>
      <w:r>
        <w:lastRenderedPageBreak/>
        <w:t xml:space="preserve">del universo laboral de los trabajadores petroleros. En </w:t>
      </w:r>
      <w:r>
        <w:rPr>
          <w:i/>
        </w:rPr>
        <w:t>IDENTIDADES</w:t>
      </w:r>
      <w:r>
        <w:t xml:space="preserve">, Dossier 3, Año 6, pp. 110-127. </w:t>
      </w:r>
    </w:p>
    <w:p w:rsidR="006E62C5" w:rsidRDefault="00446E2A">
      <w:pPr>
        <w:spacing w:after="120" w:line="240" w:lineRule="auto"/>
        <w:jc w:val="both"/>
        <w:rPr>
          <w:b/>
        </w:rPr>
      </w:pPr>
      <w:r>
        <w:rPr>
          <w:b/>
        </w:rPr>
        <w:t>UNIDAD 6. Ciencia, Tecnología, Naturaleza</w:t>
      </w:r>
    </w:p>
    <w:p w:rsidR="006E62C5" w:rsidRDefault="00446E2A">
      <w:pPr>
        <w:spacing w:after="180" w:line="240" w:lineRule="auto"/>
        <w:jc w:val="both"/>
      </w:pPr>
      <w:r>
        <w:t>Recorrido histórico y teórico del dualismo naturaleza y cultura como clave interpretativa de diversas opresiones (de género, sexuales, raciales, étnicas, de clase). Tensiones y debates en torno a la naturaleza: de los planteos feministas clásicos a los estudios sociales de la ciencia en clave feminista. La procreación como evento natural o tecnológico: las apropiaciones de las tecnologías de reproducción asistida.</w:t>
      </w:r>
    </w:p>
    <w:p w:rsidR="006E62C5" w:rsidRDefault="00446E2A">
      <w:pPr>
        <w:spacing w:after="120" w:line="240" w:lineRule="auto"/>
      </w:pPr>
      <w:r>
        <w:rPr>
          <w:u w:val="single"/>
        </w:rPr>
        <w:t>Bibliografía obligatoria</w:t>
      </w:r>
    </w:p>
    <w:p w:rsidR="006E62C5" w:rsidRDefault="00446E2A">
      <w:pPr>
        <w:spacing w:after="120" w:line="240" w:lineRule="auto"/>
        <w:jc w:val="both"/>
      </w:pPr>
      <w:r>
        <w:t xml:space="preserve">Ortner, Sherry (1979). “¿Es la mujer con respecto al hombre lo que la naturaleza con respecto a la cultura?”. En Harris, Olivia y Young, Kate (comps.), </w:t>
      </w:r>
      <w:r>
        <w:rPr>
          <w:i/>
        </w:rPr>
        <w:t xml:space="preserve">Antropología y feminismo </w:t>
      </w:r>
      <w:r>
        <w:t>(p. 109-131). Barcelona: Anagrama.</w:t>
      </w:r>
    </w:p>
    <w:p w:rsidR="006E62C5" w:rsidRDefault="00446E2A">
      <w:pPr>
        <w:spacing w:after="120" w:line="240" w:lineRule="auto"/>
        <w:jc w:val="both"/>
      </w:pPr>
      <w:r>
        <w:t xml:space="preserve">Haraway, Donna [1992] (1999). “La promesa de los monstruos: una política regeneradora para otros inapropiados/bles”. En </w:t>
      </w:r>
      <w:r>
        <w:rPr>
          <w:i/>
        </w:rPr>
        <w:t>Política y Sociedad</w:t>
      </w:r>
      <w:r>
        <w:t>, nº 30, p. 121-163.</w:t>
      </w:r>
    </w:p>
    <w:p w:rsidR="006E62C5" w:rsidRDefault="00446E2A">
      <w:pPr>
        <w:spacing w:after="180" w:line="240" w:lineRule="auto"/>
        <w:jc w:val="both"/>
      </w:pPr>
      <w:r>
        <w:t xml:space="preserve">Ariza, Lucía (2010). “La procreación como evento natural o tecnológico: repertorios decisorios acerca del recurso a la reproducción asistida en mujeres en parejas infértiles de Buenos Aires”. En </w:t>
      </w:r>
      <w:r>
        <w:rPr>
          <w:i/>
        </w:rPr>
        <w:t>ea-electronicjournal</w:t>
      </w:r>
      <w:r>
        <w:t xml:space="preserve"> vol. 2, nº 1, p. 1-47. </w:t>
      </w:r>
    </w:p>
    <w:p w:rsidR="006E62C5" w:rsidRDefault="00446E2A">
      <w:pPr>
        <w:spacing w:after="120" w:line="240" w:lineRule="auto"/>
        <w:rPr>
          <w:u w:val="single"/>
        </w:rPr>
      </w:pPr>
      <w:r>
        <w:rPr>
          <w:u w:val="single"/>
        </w:rPr>
        <w:t>Bibliografía de referencia</w:t>
      </w:r>
    </w:p>
    <w:p w:rsidR="006E62C5" w:rsidRDefault="00446E2A">
      <w:pPr>
        <w:spacing w:after="120" w:line="240" w:lineRule="auto"/>
        <w:jc w:val="both"/>
      </w:pPr>
      <w:r>
        <w:t xml:space="preserve">Ortner, Sherry [1996] (2006). “Entonces, ¿es la mujer al hombre lo que la naturaleza a la cultura?”. En </w:t>
      </w:r>
      <w:r>
        <w:rPr>
          <w:i/>
        </w:rPr>
        <w:t>AIBR. Revista de Antropología Iberoamericana</w:t>
      </w:r>
      <w:r>
        <w:t xml:space="preserve"> vol. 1, nº 1, p. 12-21.</w:t>
      </w:r>
    </w:p>
    <w:p w:rsidR="006E62C5" w:rsidRDefault="00446E2A">
      <w:pPr>
        <w:spacing w:after="120" w:line="240" w:lineRule="auto"/>
        <w:jc w:val="both"/>
      </w:pPr>
      <w:r>
        <w:t xml:space="preserve">Haraway, Donna [1989] (1991). “Manifiesto para cyborgs. Ciencia, tecnología y feminismo socialista a finales del siglo XX”. En </w:t>
      </w:r>
      <w:r>
        <w:rPr>
          <w:i/>
        </w:rPr>
        <w:t xml:space="preserve">Ciencia, cyborgs y mujeres. La reinvención de la naturaleza </w:t>
      </w:r>
      <w:r>
        <w:t>(p. 251-311). Madrid: Cátedra.</w:t>
      </w:r>
    </w:p>
    <w:p w:rsidR="006E62C5" w:rsidRPr="002F3625" w:rsidRDefault="00446E2A">
      <w:pPr>
        <w:spacing w:after="120" w:line="240" w:lineRule="auto"/>
        <w:jc w:val="both"/>
        <w:rPr>
          <w:lang w:val="en-US"/>
        </w:rPr>
      </w:pPr>
      <w:r>
        <w:t xml:space="preserve">Roberts, Elizabeth (2005). “El embrión extra: ética de vida, ética de parentesco y cryopreservación en las clínicas ecuatorianas de fertilización in-vitro”. </w:t>
      </w:r>
      <w:r w:rsidRPr="002F3625">
        <w:rPr>
          <w:lang w:val="en-US"/>
        </w:rPr>
        <w:t>En</w:t>
      </w:r>
      <w:r w:rsidRPr="002F3625">
        <w:rPr>
          <w:i/>
          <w:lang w:val="en-US"/>
        </w:rPr>
        <w:t>Iconos. Revista de CienciasSociales</w:t>
      </w:r>
      <w:r w:rsidRPr="002F3625">
        <w:rPr>
          <w:lang w:val="en-US"/>
        </w:rPr>
        <w:t xml:space="preserve"> nº 22, p. 75-82.</w:t>
      </w:r>
    </w:p>
    <w:p w:rsidR="006E62C5" w:rsidRDefault="00446E2A">
      <w:pPr>
        <w:spacing w:after="120" w:line="240" w:lineRule="auto"/>
        <w:jc w:val="both"/>
      </w:pPr>
      <w:r w:rsidRPr="002F3625">
        <w:rPr>
          <w:lang w:val="en-US"/>
        </w:rPr>
        <w:t xml:space="preserve">SzkupinskiQuiroga, Seline (2007). “Blood Is Thicker than Water: Policing Donor Insemination and the Reproduction of Whiteness”. </w:t>
      </w:r>
      <w:r>
        <w:t xml:space="preserve">En </w:t>
      </w:r>
      <w:r>
        <w:rPr>
          <w:i/>
        </w:rPr>
        <w:t>Hypatia</w:t>
      </w:r>
      <w:r>
        <w:t xml:space="preserve"> vol. 22, nº 2, p. 143-161.</w:t>
      </w:r>
    </w:p>
    <w:p w:rsidR="006E62C5" w:rsidRDefault="00446E2A">
      <w:pPr>
        <w:spacing w:after="120" w:line="240" w:lineRule="auto"/>
        <w:jc w:val="both"/>
      </w:pPr>
      <w:r>
        <w:t xml:space="preserve">Ariza, Lucía (2012). “Gestión poblacional del parentesco y normatividad: la producción de variabilidad biológica en el intercambio de gametas de la reproducción asistida”. En Daniel Jones, Carlos Figari y Sara Barrón López (coords.), </w:t>
      </w:r>
      <w:r>
        <w:rPr>
          <w:i/>
        </w:rPr>
        <w:t>La producción de la sexualidad. Políticas y regulaciones sexuales en Argentina</w:t>
      </w:r>
      <w:r>
        <w:t xml:space="preserve"> (p. 127-146). Buenos Aires: Biblos. </w:t>
      </w:r>
    </w:p>
    <w:p w:rsidR="006E62C5" w:rsidRDefault="00446E2A">
      <w:pPr>
        <w:spacing w:after="240" w:line="240" w:lineRule="auto"/>
        <w:jc w:val="both"/>
      </w:pPr>
      <w:r>
        <w:t xml:space="preserve">Fernández Jimeno, Natalia (2016). “Desafiando la institución de la maternidad: reapropiaciones subversivas de las tecnologías de  reproducción asistida (TRA)”. En </w:t>
      </w:r>
      <w:r>
        <w:rPr>
          <w:i/>
        </w:rPr>
        <w:t>Revista CTS</w:t>
      </w:r>
      <w:r>
        <w:t xml:space="preserve"> nº 31, vol. 11, p. 119-146.</w:t>
      </w:r>
    </w:p>
    <w:p w:rsidR="006E62C5" w:rsidRDefault="00446E2A">
      <w:pPr>
        <w:shd w:val="clear" w:color="auto" w:fill="FFFFFF"/>
        <w:spacing w:after="120" w:line="240" w:lineRule="auto"/>
        <w:jc w:val="both"/>
      </w:pPr>
      <w:r>
        <w:t>6.10.    Aspectos a actualizar (si correspondiere)</w:t>
      </w:r>
    </w:p>
    <w:p w:rsidR="006E62C5" w:rsidRDefault="00446E2A">
      <w:pPr>
        <w:shd w:val="clear" w:color="auto" w:fill="FFFFFF"/>
        <w:spacing w:after="240" w:line="240" w:lineRule="auto"/>
        <w:jc w:val="both"/>
      </w:pPr>
      <w:r>
        <w:t xml:space="preserve">No corresponde. </w:t>
      </w:r>
    </w:p>
    <w:p w:rsidR="006E62C5" w:rsidRDefault="00446E2A">
      <w:pPr>
        <w:shd w:val="clear" w:color="auto" w:fill="FFFFFF"/>
        <w:spacing w:after="120" w:line="240" w:lineRule="auto"/>
        <w:jc w:val="both"/>
      </w:pPr>
      <w:r>
        <w:t>6.11.    Fecha desde la cual se dicta (si correspondiere)</w:t>
      </w:r>
    </w:p>
    <w:p w:rsidR="006E62C5" w:rsidRDefault="00446E2A">
      <w:pPr>
        <w:shd w:val="clear" w:color="auto" w:fill="FFFFFF"/>
        <w:spacing w:after="240" w:line="240" w:lineRule="auto"/>
        <w:jc w:val="both"/>
      </w:pPr>
      <w:r>
        <w:t>2017</w:t>
      </w:r>
      <w:bookmarkStart w:id="1" w:name="_GoBack"/>
      <w:bookmarkEnd w:id="1"/>
      <w:r>
        <w:t xml:space="preserve">. </w:t>
      </w:r>
    </w:p>
    <w:p w:rsidR="006E62C5" w:rsidRDefault="00446E2A">
      <w:pPr>
        <w:shd w:val="clear" w:color="auto" w:fill="FFFFFF"/>
        <w:spacing w:after="120" w:line="240" w:lineRule="auto"/>
        <w:jc w:val="both"/>
        <w:rPr>
          <w:color w:val="500050"/>
        </w:rPr>
      </w:pPr>
      <w:r>
        <w:lastRenderedPageBreak/>
        <w:t>6.12.    Sistema de evaluación y de promoción.</w:t>
      </w:r>
    </w:p>
    <w:p w:rsidR="006E62C5" w:rsidRDefault="00446E2A">
      <w:pPr>
        <w:shd w:val="clear" w:color="auto" w:fill="FFFFFF"/>
        <w:spacing w:after="60" w:line="240" w:lineRule="auto"/>
        <w:jc w:val="both"/>
      </w:pPr>
      <w:r>
        <w:t>La materia es promocional y el sistema de evaluación está compuesto de tres instancias:</w:t>
      </w:r>
    </w:p>
    <w:p w:rsidR="006E62C5" w:rsidRDefault="00446E2A">
      <w:pPr>
        <w:numPr>
          <w:ilvl w:val="0"/>
          <w:numId w:val="1"/>
        </w:numPr>
        <w:shd w:val="clear" w:color="auto" w:fill="FFFFFF"/>
        <w:spacing w:after="60" w:line="240" w:lineRule="auto"/>
        <w:ind w:hanging="705"/>
        <w:jc w:val="both"/>
      </w:pPr>
      <w:r>
        <w:t xml:space="preserve">Una reseña de algún texto de la bibliografía del programa (un máximo de dos estudiantes por trabajo), y su exposición oral (cada estudiante debe exponer al menos una vez durante la cursada). </w:t>
      </w:r>
    </w:p>
    <w:p w:rsidR="006E62C5" w:rsidRDefault="00446E2A">
      <w:pPr>
        <w:numPr>
          <w:ilvl w:val="0"/>
          <w:numId w:val="1"/>
        </w:numPr>
        <w:shd w:val="clear" w:color="auto" w:fill="FFFFFF"/>
        <w:spacing w:after="60" w:line="240" w:lineRule="auto"/>
        <w:ind w:hanging="705"/>
        <w:jc w:val="both"/>
      </w:pPr>
      <w:r>
        <w:t>Un parcial domiciliario individual de comprensión y apropiación de conceptos presentados y discutidos durante la cursada.</w:t>
      </w:r>
    </w:p>
    <w:p w:rsidR="006E62C5" w:rsidRDefault="00446E2A">
      <w:pPr>
        <w:numPr>
          <w:ilvl w:val="0"/>
          <w:numId w:val="1"/>
        </w:numPr>
        <w:shd w:val="clear" w:color="auto" w:fill="FFFFFF"/>
        <w:spacing w:after="120" w:line="240" w:lineRule="auto"/>
        <w:ind w:hanging="705"/>
        <w:jc w:val="both"/>
      </w:pPr>
      <w:r>
        <w:t>Un trabajo final sobre una breve investigación y/o revisión bibliográfica, que recupere y sistematice aportes de la materia, a defenderse en un coloquio o examen final.</w:t>
      </w:r>
    </w:p>
    <w:p w:rsidR="006E62C5" w:rsidRDefault="00446E2A">
      <w:pPr>
        <w:shd w:val="clear" w:color="auto" w:fill="FFFFFF"/>
        <w:spacing w:after="120" w:line="240" w:lineRule="auto"/>
        <w:jc w:val="both"/>
      </w:pPr>
      <w:r>
        <w:t xml:space="preserve">La materia se promociona con 7 (siete) o más. </w:t>
      </w:r>
    </w:p>
    <w:p w:rsidR="006E62C5" w:rsidRDefault="00446E2A">
      <w:pPr>
        <w:shd w:val="clear" w:color="auto" w:fill="FFFFFF"/>
        <w:spacing w:after="120" w:line="240" w:lineRule="auto"/>
        <w:jc w:val="both"/>
      </w:pPr>
      <w:r>
        <w:t>La aprobación mediante promoción implica cumplir con las tres instancias mencionadas, en tiempo y forma, y que el contenido de las mismas amerite 7 (siete) o más. En este caso, el trabajo c) se defiende en un coloquio en el tramo final de la cursada.</w:t>
      </w:r>
    </w:p>
    <w:p w:rsidR="006E62C5" w:rsidRDefault="00446E2A">
      <w:pPr>
        <w:shd w:val="clear" w:color="auto" w:fill="FFFFFF"/>
        <w:spacing w:after="120" w:line="240" w:lineRule="auto"/>
        <w:jc w:val="both"/>
      </w:pPr>
      <w:r>
        <w:t>La aprobación sin promoción implica cumplir con las tres instancias mencionadas, en tiempo y forma, que y que el contenido de las mismas amerite 4 (cuatro) y 7 (siete). En este caso, el trabajo c) se defiende en un examen final.</w:t>
      </w:r>
    </w:p>
    <w:p w:rsidR="006E62C5" w:rsidRDefault="00446E2A">
      <w:pPr>
        <w:shd w:val="clear" w:color="auto" w:fill="FFFFFF"/>
        <w:spacing w:after="240" w:line="240" w:lineRule="auto"/>
        <w:jc w:val="both"/>
      </w:pPr>
      <w:r>
        <w:t>En ambos casos se requiere un 75% de asistencia a clases.</w:t>
      </w:r>
    </w:p>
    <w:p w:rsidR="006E62C5" w:rsidRDefault="00446E2A">
      <w:pPr>
        <w:shd w:val="clear" w:color="auto" w:fill="FFFFFF"/>
        <w:spacing w:after="120" w:line="240" w:lineRule="auto"/>
        <w:jc w:val="both"/>
      </w:pPr>
      <w:r>
        <w:t>6.13.    Docente que tendrá a su cargo el dictado de la asignatura de quien se deberán consignar los datos siguientes (uno por cada cátedra):</w:t>
      </w:r>
    </w:p>
    <w:p w:rsidR="006E62C5" w:rsidRDefault="00446E2A">
      <w:pPr>
        <w:shd w:val="clear" w:color="auto" w:fill="FFFFFF"/>
        <w:spacing w:after="240" w:line="240" w:lineRule="auto"/>
        <w:jc w:val="both"/>
      </w:pPr>
      <w:r>
        <w:t>DANIEL EDUARDO JONES.</w:t>
      </w:r>
    </w:p>
    <w:p w:rsidR="006E62C5" w:rsidRDefault="00446E2A">
      <w:pPr>
        <w:shd w:val="clear" w:color="auto" w:fill="FFFFFF"/>
        <w:spacing w:after="120" w:line="240" w:lineRule="auto"/>
        <w:jc w:val="both"/>
      </w:pPr>
      <w:r>
        <w:t>       6.13.1. Situación de revista: regular, extraordinario o interino.</w:t>
      </w:r>
    </w:p>
    <w:p w:rsidR="006E62C5" w:rsidRDefault="00446E2A">
      <w:pPr>
        <w:shd w:val="clear" w:color="auto" w:fill="FFFFFF"/>
        <w:spacing w:after="240" w:line="240" w:lineRule="auto"/>
        <w:jc w:val="both"/>
      </w:pPr>
      <w:r>
        <w:t>REGULAR.</w:t>
      </w:r>
    </w:p>
    <w:p w:rsidR="006E62C5" w:rsidRDefault="00446E2A">
      <w:pPr>
        <w:shd w:val="clear" w:color="auto" w:fill="FFFFFF"/>
        <w:spacing w:after="120" w:line="240" w:lineRule="auto"/>
        <w:jc w:val="both"/>
      </w:pPr>
      <w:r>
        <w:t>       6.13.2. Categoría y dedicación.</w:t>
      </w:r>
    </w:p>
    <w:p w:rsidR="006E62C5" w:rsidRDefault="00446E2A">
      <w:pPr>
        <w:shd w:val="clear" w:color="auto" w:fill="FFFFFF"/>
        <w:spacing w:after="240" w:line="240" w:lineRule="auto"/>
        <w:jc w:val="both"/>
      </w:pPr>
      <w:r>
        <w:t>ADJUNTO, SIMPLE.</w:t>
      </w:r>
    </w:p>
    <w:p w:rsidR="006E62C5" w:rsidRDefault="00446E2A">
      <w:pPr>
        <w:shd w:val="clear" w:color="auto" w:fill="FFFFFF"/>
        <w:spacing w:after="120" w:line="240" w:lineRule="auto"/>
        <w:jc w:val="both"/>
      </w:pPr>
      <w:r>
        <w:rPr>
          <w:color w:val="500050"/>
        </w:rPr>
        <w:t xml:space="preserve">       </w:t>
      </w:r>
      <w:r>
        <w:t>6.1.3.   Otras actividades a su cargo (dictado de materias obligatorias, seminarios, proyectos de investigación o extensión, etc.)</w:t>
      </w:r>
    </w:p>
    <w:p w:rsidR="006E62C5" w:rsidRDefault="00446E2A">
      <w:pPr>
        <w:shd w:val="clear" w:color="auto" w:fill="FFFFFF"/>
        <w:spacing w:after="120" w:line="240" w:lineRule="auto"/>
        <w:jc w:val="both"/>
        <w:rPr>
          <w:color w:val="222222"/>
        </w:rPr>
      </w:pPr>
      <w:r>
        <w:t>Investigador Adjunto del Consejo Nacional de Investigaciones Científicas y Técnicas (CONICET). Profesor del área de talleres de tesis del Doctorado en Ciencias Sociales (UBA) y del Programa Interinstitucional de Doctorado en Educación (UNTREF, UNLA y UNSAM). Director del proyecto UBACYT 20020150200093BA y co-director del proyecto PICT 2012-2150.</w:t>
      </w:r>
    </w:p>
    <w:sectPr w:rsidR="006E62C5" w:rsidSect="009E3D86">
      <w:headerReference w:type="default" r:id="rId7"/>
      <w:footerReference w:type="default" r:id="rId8"/>
      <w:pgSz w:w="12240" w:h="15840"/>
      <w:pgMar w:top="1418" w:right="1418" w:bottom="1418"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5F" w:rsidRDefault="00F1535F">
      <w:pPr>
        <w:spacing w:after="0" w:line="240" w:lineRule="auto"/>
      </w:pPr>
      <w:r>
        <w:separator/>
      </w:r>
    </w:p>
  </w:endnote>
  <w:endnote w:type="continuationSeparator" w:id="1">
    <w:p w:rsidR="00F1535F" w:rsidRDefault="00F15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C5" w:rsidRDefault="009E3D86">
    <w:pPr>
      <w:tabs>
        <w:tab w:val="center" w:pos="4252"/>
        <w:tab w:val="right" w:pos="8504"/>
      </w:tabs>
      <w:spacing w:after="0" w:line="240" w:lineRule="auto"/>
      <w:jc w:val="center"/>
    </w:pPr>
    <w:r>
      <w:fldChar w:fldCharType="begin"/>
    </w:r>
    <w:r w:rsidR="00446E2A">
      <w:instrText>PAGE</w:instrText>
    </w:r>
    <w:r>
      <w:fldChar w:fldCharType="separate"/>
    </w:r>
    <w:r w:rsidR="00573020">
      <w:rPr>
        <w:noProof/>
      </w:rPr>
      <w:t>9</w:t>
    </w:r>
    <w:r>
      <w:fldChar w:fldCharType="end"/>
    </w:r>
  </w:p>
  <w:p w:rsidR="006E62C5" w:rsidRDefault="006E62C5">
    <w:pPr>
      <w:tabs>
        <w:tab w:val="center" w:pos="4252"/>
        <w:tab w:val="right" w:pos="8504"/>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5F" w:rsidRDefault="00F1535F">
      <w:pPr>
        <w:spacing w:after="0" w:line="240" w:lineRule="auto"/>
      </w:pPr>
      <w:r>
        <w:separator/>
      </w:r>
    </w:p>
  </w:footnote>
  <w:footnote w:type="continuationSeparator" w:id="1">
    <w:p w:rsidR="00F1535F" w:rsidRDefault="00F15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C5" w:rsidRDefault="006E62C5">
    <w:pPr>
      <w:tabs>
        <w:tab w:val="center" w:pos="4252"/>
        <w:tab w:val="right" w:pos="8504"/>
      </w:tabs>
      <w:spacing w:before="708"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2B05"/>
    <w:multiLevelType w:val="multilevel"/>
    <w:tmpl w:val="136457E0"/>
    <w:lvl w:ilvl="0">
      <w:start w:val="1"/>
      <w:numFmt w:val="lowerLetter"/>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pt-BR" w:vendorID="64" w:dllVersion="131078" w:nlCheck="1" w:checkStyle="0"/>
  <w:activeWritingStyle w:appName="MSWord" w:lang="es-AR" w:vendorID="64" w:dllVersion="131078" w:nlCheck="1" w:checkStyle="1"/>
  <w:activeWritingStyle w:appName="MSWord" w:lang="en-US" w:vendorID="64" w:dllVersion="131078" w:nlCheck="1" w:checkStyle="1"/>
  <w:defaultTabStop w:val="720"/>
  <w:hyphenationZone w:val="425"/>
  <w:characterSpacingControl w:val="doNotCompress"/>
  <w:footnotePr>
    <w:footnote w:id="0"/>
    <w:footnote w:id="1"/>
  </w:footnotePr>
  <w:endnotePr>
    <w:endnote w:id="0"/>
    <w:endnote w:id="1"/>
  </w:endnotePr>
  <w:compat/>
  <w:rsids>
    <w:rsidRoot w:val="006E62C5"/>
    <w:rsid w:val="002F3625"/>
    <w:rsid w:val="00446E2A"/>
    <w:rsid w:val="00573020"/>
    <w:rsid w:val="006E62C5"/>
    <w:rsid w:val="008760EE"/>
    <w:rsid w:val="009E3D86"/>
    <w:rsid w:val="00D73706"/>
    <w:rsid w:val="00F1535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86"/>
  </w:style>
  <w:style w:type="paragraph" w:styleId="Ttulo1">
    <w:name w:val="heading 1"/>
    <w:basedOn w:val="Normal"/>
    <w:next w:val="Normal"/>
    <w:rsid w:val="009E3D86"/>
    <w:pPr>
      <w:keepNext/>
      <w:keepLines/>
      <w:spacing w:before="480" w:after="120"/>
      <w:contextualSpacing/>
      <w:outlineLvl w:val="0"/>
    </w:pPr>
    <w:rPr>
      <w:b/>
      <w:sz w:val="48"/>
      <w:szCs w:val="48"/>
    </w:rPr>
  </w:style>
  <w:style w:type="paragraph" w:styleId="Ttulo2">
    <w:name w:val="heading 2"/>
    <w:basedOn w:val="Normal"/>
    <w:next w:val="Normal"/>
    <w:rsid w:val="009E3D86"/>
    <w:pPr>
      <w:keepNext/>
      <w:keepLines/>
      <w:spacing w:before="360" w:after="80"/>
      <w:contextualSpacing/>
      <w:outlineLvl w:val="1"/>
    </w:pPr>
    <w:rPr>
      <w:b/>
      <w:sz w:val="36"/>
      <w:szCs w:val="36"/>
    </w:rPr>
  </w:style>
  <w:style w:type="paragraph" w:styleId="Ttulo3">
    <w:name w:val="heading 3"/>
    <w:basedOn w:val="Normal"/>
    <w:next w:val="Normal"/>
    <w:rsid w:val="009E3D86"/>
    <w:pPr>
      <w:keepNext/>
      <w:keepLines/>
      <w:spacing w:before="280" w:after="80"/>
      <w:contextualSpacing/>
      <w:outlineLvl w:val="2"/>
    </w:pPr>
    <w:rPr>
      <w:b/>
      <w:sz w:val="28"/>
      <w:szCs w:val="28"/>
    </w:rPr>
  </w:style>
  <w:style w:type="paragraph" w:styleId="Ttulo4">
    <w:name w:val="heading 4"/>
    <w:basedOn w:val="Normal"/>
    <w:next w:val="Normal"/>
    <w:rsid w:val="009E3D86"/>
    <w:pPr>
      <w:keepNext/>
      <w:keepLines/>
      <w:spacing w:before="240" w:after="40"/>
      <w:contextualSpacing/>
      <w:outlineLvl w:val="3"/>
    </w:pPr>
    <w:rPr>
      <w:b/>
      <w:sz w:val="24"/>
      <w:szCs w:val="24"/>
    </w:rPr>
  </w:style>
  <w:style w:type="paragraph" w:styleId="Ttulo5">
    <w:name w:val="heading 5"/>
    <w:basedOn w:val="Normal"/>
    <w:next w:val="Normal"/>
    <w:rsid w:val="009E3D86"/>
    <w:pPr>
      <w:keepNext/>
      <w:keepLines/>
      <w:spacing w:before="220" w:after="40"/>
      <w:contextualSpacing/>
      <w:outlineLvl w:val="4"/>
    </w:pPr>
    <w:rPr>
      <w:b/>
    </w:rPr>
  </w:style>
  <w:style w:type="paragraph" w:styleId="Ttulo6">
    <w:name w:val="heading 6"/>
    <w:basedOn w:val="Normal"/>
    <w:next w:val="Normal"/>
    <w:rsid w:val="009E3D86"/>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E3D86"/>
    <w:tblPr>
      <w:tblCellMar>
        <w:top w:w="0" w:type="dxa"/>
        <w:left w:w="0" w:type="dxa"/>
        <w:bottom w:w="0" w:type="dxa"/>
        <w:right w:w="0" w:type="dxa"/>
      </w:tblCellMar>
    </w:tblPr>
  </w:style>
  <w:style w:type="paragraph" w:styleId="Ttulo">
    <w:name w:val="Title"/>
    <w:basedOn w:val="Normal"/>
    <w:next w:val="Normal"/>
    <w:rsid w:val="009E3D86"/>
    <w:pPr>
      <w:keepNext/>
      <w:keepLines/>
      <w:spacing w:before="480" w:after="120"/>
      <w:contextualSpacing/>
    </w:pPr>
    <w:rPr>
      <w:b/>
      <w:sz w:val="72"/>
      <w:szCs w:val="72"/>
    </w:rPr>
  </w:style>
  <w:style w:type="character" w:customStyle="1" w:styleId="apple-converted-space">
    <w:name w:val="apple-converted-space"/>
    <w:basedOn w:val="Fuentedeprrafopredeter"/>
    <w:rsid w:val="000521AD"/>
  </w:style>
  <w:style w:type="paragraph" w:styleId="Prrafodelista">
    <w:name w:val="List Paragraph"/>
    <w:basedOn w:val="Normal"/>
    <w:uiPriority w:val="34"/>
    <w:qFormat/>
    <w:rsid w:val="00534EB9"/>
    <w:pPr>
      <w:ind w:left="720"/>
      <w:contextualSpacing/>
    </w:pPr>
  </w:style>
  <w:style w:type="character" w:styleId="Refdecomentario">
    <w:name w:val="annotation reference"/>
    <w:basedOn w:val="Fuentedeprrafopredeter"/>
    <w:uiPriority w:val="99"/>
    <w:semiHidden/>
    <w:unhideWhenUsed/>
    <w:rsid w:val="004F2392"/>
    <w:rPr>
      <w:sz w:val="16"/>
      <w:szCs w:val="16"/>
    </w:rPr>
  </w:style>
  <w:style w:type="paragraph" w:styleId="Textocomentario">
    <w:name w:val="annotation text"/>
    <w:basedOn w:val="Normal"/>
    <w:link w:val="TextocomentarioCar"/>
    <w:uiPriority w:val="99"/>
    <w:semiHidden/>
    <w:unhideWhenUsed/>
    <w:rsid w:val="004F23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2392"/>
    <w:rPr>
      <w:sz w:val="20"/>
      <w:szCs w:val="20"/>
    </w:rPr>
  </w:style>
  <w:style w:type="paragraph" w:styleId="Asuntodelcomentario">
    <w:name w:val="annotation subject"/>
    <w:basedOn w:val="Textocomentario"/>
    <w:next w:val="Textocomentario"/>
    <w:link w:val="AsuntodelcomentarioCar"/>
    <w:uiPriority w:val="99"/>
    <w:semiHidden/>
    <w:unhideWhenUsed/>
    <w:rsid w:val="004F2392"/>
    <w:rPr>
      <w:b/>
      <w:bCs/>
    </w:rPr>
  </w:style>
  <w:style w:type="character" w:customStyle="1" w:styleId="AsuntodelcomentarioCar">
    <w:name w:val="Asunto del comentario Car"/>
    <w:basedOn w:val="TextocomentarioCar"/>
    <w:link w:val="Asuntodelcomentario"/>
    <w:uiPriority w:val="99"/>
    <w:semiHidden/>
    <w:rsid w:val="004F2392"/>
    <w:rPr>
      <w:b/>
      <w:bCs/>
      <w:sz w:val="20"/>
      <w:szCs w:val="20"/>
    </w:rPr>
  </w:style>
  <w:style w:type="paragraph" w:styleId="Textodeglobo">
    <w:name w:val="Balloon Text"/>
    <w:basedOn w:val="Normal"/>
    <w:link w:val="TextodegloboCar"/>
    <w:uiPriority w:val="99"/>
    <w:semiHidden/>
    <w:unhideWhenUsed/>
    <w:rsid w:val="004F23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392"/>
    <w:rPr>
      <w:rFonts w:ascii="Tahoma" w:hAnsi="Tahoma" w:cs="Tahoma"/>
      <w:sz w:val="16"/>
      <w:szCs w:val="16"/>
    </w:rPr>
  </w:style>
  <w:style w:type="paragraph" w:styleId="Encabezado">
    <w:name w:val="header"/>
    <w:basedOn w:val="Normal"/>
    <w:link w:val="EncabezadoCar"/>
    <w:uiPriority w:val="99"/>
    <w:unhideWhenUsed/>
    <w:rsid w:val="004F23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92"/>
  </w:style>
  <w:style w:type="paragraph" w:styleId="Piedepgina">
    <w:name w:val="footer"/>
    <w:basedOn w:val="Normal"/>
    <w:link w:val="PiedepginaCar"/>
    <w:uiPriority w:val="99"/>
    <w:unhideWhenUsed/>
    <w:rsid w:val="004F23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92"/>
  </w:style>
  <w:style w:type="paragraph" w:styleId="Subttulo">
    <w:name w:val="Subtitle"/>
    <w:basedOn w:val="Normal"/>
    <w:next w:val="Normal"/>
    <w:rsid w:val="009E3D8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4028</Words>
  <Characters>22160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Eduardo Jones</dc:creator>
  <cp:lastModifiedBy>21731892</cp:lastModifiedBy>
  <cp:revision>2</cp:revision>
  <dcterms:created xsi:type="dcterms:W3CDTF">2017-07-12T22:06:00Z</dcterms:created>
  <dcterms:modified xsi:type="dcterms:W3CDTF">2017-07-12T22:06:00Z</dcterms:modified>
</cp:coreProperties>
</file>